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B37" w:rsidRPr="009D2B37" w:rsidRDefault="008A31FC" w:rsidP="009D2B37">
      <w:pPr>
        <w:tabs>
          <w:tab w:val="left" w:pos="9781"/>
        </w:tabs>
      </w:pPr>
      <w:r>
        <w:rPr>
          <w:noProof/>
          <w:lang w:eastAsia="sl-SI"/>
        </w:rPr>
        <w:drawing>
          <wp:anchor distT="0" distB="0" distL="114300" distR="114300" simplePos="0" relativeHeight="251659264" behindDoc="0" locked="0" layoutInCell="1" allowOverlap="1" wp14:anchorId="0FDD70CC" wp14:editId="3D3D0B17">
            <wp:simplePos x="0" y="0"/>
            <wp:positionH relativeFrom="margin">
              <wp:align>left</wp:align>
            </wp:positionH>
            <wp:positionV relativeFrom="paragraph">
              <wp:posOffset>-1187450</wp:posOffset>
            </wp:positionV>
            <wp:extent cx="723900" cy="962025"/>
            <wp:effectExtent l="0" t="0" r="0" b="9525"/>
            <wp:wrapNone/>
            <wp:docPr id="15" name="Slika 15" descr="logoti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logotip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620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B37" w:rsidRPr="00857F68" w:rsidRDefault="009D2B37" w:rsidP="009D2B37">
      <w:pPr>
        <w:jc w:val="center"/>
        <w:rPr>
          <w:rFonts w:ascii="Times New Roman" w:hAnsi="Times New Roman" w:cs="Times New Roman"/>
          <w:b/>
          <w:bCs/>
          <w:sz w:val="36"/>
          <w:szCs w:val="36"/>
        </w:rPr>
      </w:pPr>
      <w:r w:rsidRPr="00857F68">
        <w:rPr>
          <w:rFonts w:ascii="Times New Roman" w:hAnsi="Times New Roman" w:cs="Times New Roman"/>
          <w:b/>
          <w:bCs/>
          <w:sz w:val="36"/>
          <w:szCs w:val="36"/>
        </w:rPr>
        <w:t>Elementi sistema varnega upravljanja</w:t>
      </w:r>
    </w:p>
    <w:p w:rsidR="009D2B37" w:rsidRPr="00857F68" w:rsidRDefault="009D2B37" w:rsidP="009D2B37">
      <w:pPr>
        <w:jc w:val="center"/>
        <w:outlineLvl w:val="0"/>
        <w:rPr>
          <w:rFonts w:ascii="Times New Roman" w:hAnsi="Times New Roman" w:cs="Times New Roman"/>
          <w:b/>
          <w:bCs/>
          <w:sz w:val="28"/>
          <w:szCs w:val="28"/>
        </w:rPr>
      </w:pPr>
      <w:r w:rsidRPr="00857F68">
        <w:rPr>
          <w:rFonts w:ascii="Times New Roman" w:hAnsi="Times New Roman" w:cs="Times New Roman"/>
          <w:b/>
          <w:bCs/>
          <w:sz w:val="28"/>
          <w:szCs w:val="28"/>
        </w:rPr>
        <w:br/>
        <w:t xml:space="preserve">po določilih Priloge II </w:t>
      </w:r>
      <w:r w:rsidR="00242BE3">
        <w:rPr>
          <w:rFonts w:ascii="Times New Roman" w:hAnsi="Times New Roman" w:cs="Times New Roman"/>
          <w:b/>
          <w:bCs/>
          <w:sz w:val="28"/>
          <w:szCs w:val="28"/>
        </w:rPr>
        <w:t>Delegirane uredbe K</w:t>
      </w:r>
      <w:r w:rsidR="00AD7EB1">
        <w:rPr>
          <w:rFonts w:ascii="Times New Roman" w:hAnsi="Times New Roman" w:cs="Times New Roman"/>
          <w:b/>
          <w:bCs/>
          <w:sz w:val="28"/>
          <w:szCs w:val="28"/>
        </w:rPr>
        <w:t>omisije (EU) št. 2018</w:t>
      </w:r>
      <w:r w:rsidRPr="00857F68">
        <w:rPr>
          <w:rFonts w:ascii="Times New Roman" w:hAnsi="Times New Roman" w:cs="Times New Roman"/>
          <w:b/>
          <w:bCs/>
          <w:sz w:val="28"/>
          <w:szCs w:val="28"/>
        </w:rPr>
        <w:t>/</w:t>
      </w:r>
      <w:r w:rsidR="00AD7EB1">
        <w:rPr>
          <w:rFonts w:ascii="Times New Roman" w:hAnsi="Times New Roman" w:cs="Times New Roman"/>
          <w:b/>
          <w:bCs/>
          <w:sz w:val="28"/>
          <w:szCs w:val="28"/>
        </w:rPr>
        <w:t>762</w:t>
      </w:r>
      <w:r w:rsidRPr="00857F68">
        <w:rPr>
          <w:rFonts w:ascii="Times New Roman" w:hAnsi="Times New Roman" w:cs="Times New Roman"/>
          <w:b/>
          <w:bCs/>
          <w:sz w:val="28"/>
          <w:szCs w:val="28"/>
        </w:rPr>
        <w:t xml:space="preserve"> z dne </w:t>
      </w:r>
      <w:r w:rsidR="00AD7EB1">
        <w:rPr>
          <w:rFonts w:ascii="Times New Roman" w:hAnsi="Times New Roman" w:cs="Times New Roman"/>
          <w:b/>
          <w:bCs/>
          <w:sz w:val="28"/>
          <w:szCs w:val="28"/>
        </w:rPr>
        <w:t xml:space="preserve">8. marca 2018 </w:t>
      </w:r>
      <w:r w:rsidR="00AD7EB1" w:rsidRPr="00AD7EB1">
        <w:rPr>
          <w:rFonts w:ascii="Times New Roman" w:hAnsi="Times New Roman" w:cs="Times New Roman"/>
          <w:b/>
          <w:bCs/>
          <w:sz w:val="28"/>
          <w:szCs w:val="28"/>
        </w:rPr>
        <w:t>o vzpostavitvi skupnih varnostnih metod za zahteve sistema upravljanja varnosti v skladu z Direktivo (EU) 2016/798 Evropskega parlamenta in Sveta ter o razveljavitvi Uredbe Komisije (EU) št. 1158/2010 in Ure</w:t>
      </w:r>
      <w:r w:rsidR="00AD7EB1">
        <w:rPr>
          <w:rFonts w:ascii="Times New Roman" w:hAnsi="Times New Roman" w:cs="Times New Roman"/>
          <w:b/>
          <w:bCs/>
          <w:sz w:val="28"/>
          <w:szCs w:val="28"/>
        </w:rPr>
        <w:t>dbe Komisije (EU) št. 1169/2010</w:t>
      </w:r>
    </w:p>
    <w:p w:rsidR="009D2B37" w:rsidRPr="00857F68" w:rsidRDefault="009D2B37" w:rsidP="009D2B37">
      <w:pPr>
        <w:jc w:val="center"/>
        <w:rPr>
          <w:rFonts w:ascii="Times New Roman" w:hAnsi="Times New Roman" w:cs="Times New Roman"/>
          <w:b/>
          <w:bCs/>
          <w:color w:val="000000"/>
          <w:sz w:val="24"/>
          <w:szCs w:val="24"/>
        </w:rPr>
      </w:pPr>
    </w:p>
    <w:p w:rsidR="009D2B37" w:rsidRDefault="009D2B37" w:rsidP="009D2B37">
      <w:pPr>
        <w:jc w:val="center"/>
        <w:rPr>
          <w:rFonts w:ascii="Times New Roman" w:hAnsi="Times New Roman" w:cs="Times New Roman"/>
          <w:b/>
          <w:bCs/>
          <w:color w:val="000000"/>
          <w:sz w:val="24"/>
          <w:szCs w:val="24"/>
        </w:rPr>
      </w:pPr>
    </w:p>
    <w:bookmarkStart w:id="0" w:name="Besedilo2"/>
    <w:p w:rsidR="009D2B37" w:rsidRPr="00857F68" w:rsidRDefault="009D2B37" w:rsidP="009D2B37">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fldChar w:fldCharType="begin">
          <w:ffData>
            <w:name w:val="Besedilo2"/>
            <w:enabled/>
            <w:calcOnExit w:val="0"/>
            <w:textInput/>
          </w:ffData>
        </w:fldChar>
      </w:r>
      <w:r>
        <w:rPr>
          <w:rFonts w:ascii="Times New Roman" w:hAnsi="Times New Roman" w:cs="Times New Roman"/>
          <w:b/>
          <w:bCs/>
          <w:color w:val="000000"/>
          <w:sz w:val="24"/>
          <w:szCs w:val="24"/>
        </w:rPr>
        <w:instrText xml:space="preserve"> FORMTEXT </w:instrText>
      </w:r>
      <w:r>
        <w:rPr>
          <w:rFonts w:ascii="Times New Roman" w:hAnsi="Times New Roman" w:cs="Times New Roman"/>
          <w:b/>
          <w:bCs/>
          <w:color w:val="000000"/>
          <w:sz w:val="24"/>
          <w:szCs w:val="24"/>
        </w:rPr>
      </w:r>
      <w:r>
        <w:rPr>
          <w:rFonts w:ascii="Times New Roman" w:hAnsi="Times New Roman" w:cs="Times New Roman"/>
          <w:b/>
          <w:bCs/>
          <w:color w:val="000000"/>
          <w:sz w:val="24"/>
          <w:szCs w:val="24"/>
        </w:rPr>
        <w:fldChar w:fldCharType="separate"/>
      </w:r>
      <w:r>
        <w:rPr>
          <w:rFonts w:ascii="Times New Roman" w:hAnsi="Times New Roman" w:cs="Times New Roman"/>
          <w:b/>
          <w:bCs/>
          <w:noProof/>
          <w:color w:val="000000"/>
          <w:sz w:val="24"/>
          <w:szCs w:val="24"/>
        </w:rPr>
        <w:t> </w:t>
      </w:r>
      <w:r>
        <w:rPr>
          <w:rFonts w:ascii="Times New Roman" w:hAnsi="Times New Roman" w:cs="Times New Roman"/>
          <w:b/>
          <w:bCs/>
          <w:noProof/>
          <w:color w:val="000000"/>
          <w:sz w:val="24"/>
          <w:szCs w:val="24"/>
        </w:rPr>
        <w:t> </w:t>
      </w:r>
      <w:r>
        <w:rPr>
          <w:rFonts w:ascii="Times New Roman" w:hAnsi="Times New Roman" w:cs="Times New Roman"/>
          <w:b/>
          <w:bCs/>
          <w:noProof/>
          <w:color w:val="000000"/>
          <w:sz w:val="24"/>
          <w:szCs w:val="24"/>
        </w:rPr>
        <w:t> </w:t>
      </w:r>
      <w:r>
        <w:rPr>
          <w:rFonts w:ascii="Times New Roman" w:hAnsi="Times New Roman" w:cs="Times New Roman"/>
          <w:b/>
          <w:bCs/>
          <w:noProof/>
          <w:color w:val="000000"/>
          <w:sz w:val="24"/>
          <w:szCs w:val="24"/>
        </w:rPr>
        <w:t> </w:t>
      </w:r>
      <w:r>
        <w:rPr>
          <w:rFonts w:ascii="Times New Roman" w:hAnsi="Times New Roman" w:cs="Times New Roman"/>
          <w:b/>
          <w:bCs/>
          <w:noProof/>
          <w:color w:val="000000"/>
          <w:sz w:val="24"/>
          <w:szCs w:val="24"/>
        </w:rPr>
        <w:t> </w:t>
      </w:r>
      <w:r>
        <w:rPr>
          <w:rFonts w:ascii="Times New Roman" w:hAnsi="Times New Roman" w:cs="Times New Roman"/>
          <w:b/>
          <w:bCs/>
          <w:color w:val="000000"/>
          <w:sz w:val="24"/>
          <w:szCs w:val="24"/>
        </w:rPr>
        <w:fldChar w:fldCharType="end"/>
      </w:r>
      <w:bookmarkEnd w:id="0"/>
    </w:p>
    <w:p w:rsidR="009D2B37" w:rsidRPr="00857F68" w:rsidRDefault="009D2B37" w:rsidP="009D2B37">
      <w:pPr>
        <w:pBdr>
          <w:top w:val="single" w:sz="4" w:space="1" w:color="auto"/>
        </w:pBdr>
        <w:jc w:val="center"/>
        <w:rPr>
          <w:rFonts w:ascii="Times New Roman" w:hAnsi="Times New Roman" w:cs="Times New Roman"/>
          <w:bCs/>
          <w:color w:val="000000"/>
          <w:sz w:val="20"/>
          <w:szCs w:val="20"/>
        </w:rPr>
      </w:pPr>
      <w:r w:rsidRPr="00857F68">
        <w:rPr>
          <w:rFonts w:ascii="Times New Roman" w:hAnsi="Times New Roman" w:cs="Times New Roman"/>
          <w:bCs/>
          <w:color w:val="000000"/>
          <w:sz w:val="20"/>
          <w:szCs w:val="20"/>
        </w:rPr>
        <w:t>(</w:t>
      </w:r>
      <w:r>
        <w:rPr>
          <w:rFonts w:ascii="Times New Roman" w:hAnsi="Times New Roman" w:cs="Times New Roman"/>
          <w:bCs/>
          <w:color w:val="000000"/>
          <w:sz w:val="20"/>
          <w:szCs w:val="20"/>
        </w:rPr>
        <w:t>vlagatelj</w:t>
      </w:r>
      <w:r w:rsidRPr="00857F68">
        <w:rPr>
          <w:rFonts w:ascii="Times New Roman" w:hAnsi="Times New Roman" w:cs="Times New Roman"/>
          <w:bCs/>
          <w:color w:val="000000"/>
          <w:sz w:val="20"/>
          <w:szCs w:val="20"/>
        </w:rPr>
        <w:t>)</w:t>
      </w:r>
    </w:p>
    <w:p w:rsidR="009D2B37" w:rsidRPr="00857F68" w:rsidRDefault="009D2B37" w:rsidP="009D2B37">
      <w:pPr>
        <w:spacing w:line="300" w:lineRule="exact"/>
        <w:rPr>
          <w:rFonts w:ascii="Times New Roman" w:hAnsi="Times New Roman" w:cs="Times New Roman"/>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92"/>
        <w:gridCol w:w="3454"/>
        <w:gridCol w:w="4287"/>
        <w:gridCol w:w="1134"/>
      </w:tblGrid>
      <w:tr w:rsidR="00E32F6E" w:rsidRPr="00E32F6E" w:rsidTr="0054676E">
        <w:trPr>
          <w:cantSplit/>
          <w:trHeight w:val="1021"/>
          <w:tblHeader/>
        </w:trPr>
        <w:tc>
          <w:tcPr>
            <w:tcW w:w="792" w:type="dxa"/>
            <w:vAlign w:val="center"/>
          </w:tcPr>
          <w:p w:rsidR="009D2B37" w:rsidRPr="00E32F6E" w:rsidRDefault="009D2B37" w:rsidP="004E5F30">
            <w:pPr>
              <w:spacing w:before="120"/>
              <w:jc w:val="center"/>
              <w:rPr>
                <w:rFonts w:ascii="Times New Roman" w:hAnsi="Times New Roman" w:cs="Times New Roman"/>
                <w:b/>
                <w:bCs/>
                <w:color w:val="000000" w:themeColor="text1"/>
              </w:rPr>
            </w:pPr>
            <w:r w:rsidRPr="00E32F6E">
              <w:rPr>
                <w:rFonts w:ascii="Times New Roman" w:hAnsi="Times New Roman" w:cs="Times New Roman"/>
                <w:b/>
                <w:bCs/>
                <w:color w:val="000000" w:themeColor="text1"/>
              </w:rPr>
              <w:t>Oznaka</w:t>
            </w:r>
          </w:p>
        </w:tc>
        <w:tc>
          <w:tcPr>
            <w:tcW w:w="3454" w:type="dxa"/>
            <w:vAlign w:val="center"/>
          </w:tcPr>
          <w:p w:rsidR="009D2B37" w:rsidRPr="00E32F6E" w:rsidRDefault="009D2B37" w:rsidP="004E5F30">
            <w:pPr>
              <w:spacing w:before="120"/>
              <w:jc w:val="center"/>
              <w:rPr>
                <w:rFonts w:ascii="Times New Roman" w:hAnsi="Times New Roman" w:cs="Times New Roman"/>
                <w:b/>
                <w:bCs/>
                <w:color w:val="000000" w:themeColor="text1"/>
              </w:rPr>
            </w:pPr>
            <w:r w:rsidRPr="00E32F6E">
              <w:rPr>
                <w:rFonts w:ascii="Times New Roman" w:hAnsi="Times New Roman" w:cs="Times New Roman"/>
                <w:b/>
                <w:bCs/>
                <w:color w:val="000000" w:themeColor="text1"/>
              </w:rPr>
              <w:t xml:space="preserve">Potrebni elementi </w:t>
            </w:r>
          </w:p>
        </w:tc>
        <w:tc>
          <w:tcPr>
            <w:tcW w:w="4287" w:type="dxa"/>
            <w:vAlign w:val="center"/>
          </w:tcPr>
          <w:p w:rsidR="009D2B37" w:rsidRPr="00E32F6E" w:rsidRDefault="009D2B37" w:rsidP="0054676E">
            <w:pPr>
              <w:spacing w:before="120"/>
              <w:jc w:val="center"/>
              <w:rPr>
                <w:rFonts w:ascii="Times New Roman" w:hAnsi="Times New Roman" w:cs="Times New Roman"/>
                <w:b/>
                <w:bCs/>
                <w:color w:val="000000" w:themeColor="text1"/>
              </w:rPr>
            </w:pPr>
            <w:r w:rsidRPr="00E32F6E">
              <w:rPr>
                <w:rFonts w:ascii="Times New Roman" w:hAnsi="Times New Roman" w:cs="Times New Roman"/>
                <w:b/>
                <w:bCs/>
                <w:color w:val="000000" w:themeColor="text1"/>
              </w:rPr>
              <w:t>Navedeni v aktu ali dokumentu/stran</w:t>
            </w:r>
          </w:p>
        </w:tc>
        <w:tc>
          <w:tcPr>
            <w:tcW w:w="1134" w:type="dxa"/>
            <w:vAlign w:val="center"/>
          </w:tcPr>
          <w:p w:rsidR="009D2B37" w:rsidRPr="00E32F6E" w:rsidRDefault="009D2B37" w:rsidP="004E5F30">
            <w:pPr>
              <w:spacing w:before="120"/>
              <w:jc w:val="center"/>
              <w:rPr>
                <w:rFonts w:ascii="Times New Roman" w:hAnsi="Times New Roman" w:cs="Times New Roman"/>
                <w:b/>
                <w:bCs/>
                <w:color w:val="000000" w:themeColor="text1"/>
              </w:rPr>
            </w:pPr>
            <w:r w:rsidRPr="00E32F6E">
              <w:rPr>
                <w:rFonts w:ascii="Times New Roman" w:hAnsi="Times New Roman" w:cs="Times New Roman"/>
                <w:b/>
                <w:bCs/>
                <w:color w:val="000000" w:themeColor="text1"/>
              </w:rPr>
              <w:t>Uradni zaznamek</w:t>
            </w:r>
          </w:p>
        </w:tc>
      </w:tr>
      <w:tr w:rsidR="00E32F6E" w:rsidRPr="00E32F6E" w:rsidTr="0054676E">
        <w:trPr>
          <w:cantSplit/>
        </w:trPr>
        <w:tc>
          <w:tcPr>
            <w:tcW w:w="792" w:type="dxa"/>
            <w:shd w:val="clear" w:color="auto" w:fill="D9D9D9"/>
            <w:vAlign w:val="center"/>
          </w:tcPr>
          <w:p w:rsidR="009D2B37" w:rsidRPr="00E32F6E" w:rsidRDefault="004E5F30" w:rsidP="00E32F6E">
            <w:pPr>
              <w:rPr>
                <w:rFonts w:ascii="Times New Roman" w:hAnsi="Times New Roman" w:cs="Times New Roman"/>
                <w:b/>
              </w:rPr>
            </w:pPr>
            <w:r w:rsidRPr="00E32F6E">
              <w:rPr>
                <w:rFonts w:ascii="Times New Roman" w:hAnsi="Times New Roman" w:cs="Times New Roman"/>
                <w:b/>
              </w:rPr>
              <w:t>1</w:t>
            </w:r>
          </w:p>
        </w:tc>
        <w:tc>
          <w:tcPr>
            <w:tcW w:w="3454" w:type="dxa"/>
            <w:shd w:val="clear" w:color="auto" w:fill="D9D9D9"/>
            <w:vAlign w:val="center"/>
          </w:tcPr>
          <w:p w:rsidR="009D2B37" w:rsidRPr="00E32F6E" w:rsidRDefault="004E5F30" w:rsidP="00E32F6E">
            <w:pPr>
              <w:rPr>
                <w:rFonts w:ascii="Times New Roman" w:hAnsi="Times New Roman" w:cs="Times New Roman"/>
                <w:b/>
              </w:rPr>
            </w:pPr>
            <w:r w:rsidRPr="00E32F6E">
              <w:rPr>
                <w:rFonts w:ascii="Times New Roman" w:hAnsi="Times New Roman" w:cs="Times New Roman"/>
                <w:b/>
              </w:rPr>
              <w:t>ORGANIZACIJSKA ZASNOVA</w:t>
            </w:r>
          </w:p>
        </w:tc>
        <w:tc>
          <w:tcPr>
            <w:tcW w:w="4287" w:type="dxa"/>
            <w:shd w:val="clear" w:color="auto" w:fill="D9D9D9"/>
            <w:vAlign w:val="center"/>
          </w:tcPr>
          <w:p w:rsidR="009D2B37" w:rsidRPr="00E32F6E" w:rsidRDefault="009D2B37" w:rsidP="00E32F6E">
            <w:pPr>
              <w:rPr>
                <w:rFonts w:ascii="Times New Roman" w:hAnsi="Times New Roman" w:cs="Times New Roman"/>
                <w:b/>
              </w:rPr>
            </w:pPr>
          </w:p>
        </w:tc>
        <w:tc>
          <w:tcPr>
            <w:tcW w:w="1134" w:type="dxa"/>
            <w:shd w:val="clear" w:color="auto" w:fill="D9D9D9"/>
            <w:vAlign w:val="center"/>
          </w:tcPr>
          <w:p w:rsidR="009D2B37" w:rsidRPr="00E32F6E" w:rsidRDefault="009D2B37" w:rsidP="00E32F6E">
            <w:pPr>
              <w:rPr>
                <w:rFonts w:ascii="Times New Roman" w:hAnsi="Times New Roman" w:cs="Times New Roman"/>
                <w:b/>
              </w:rPr>
            </w:pPr>
          </w:p>
        </w:tc>
      </w:tr>
      <w:tr w:rsidR="00E32F6E" w:rsidRPr="00E32F6E" w:rsidTr="0054676E">
        <w:trPr>
          <w:cantSplit/>
        </w:trPr>
        <w:tc>
          <w:tcPr>
            <w:tcW w:w="792" w:type="dxa"/>
            <w:shd w:val="clear" w:color="auto" w:fill="auto"/>
            <w:vAlign w:val="center"/>
          </w:tcPr>
          <w:p w:rsidR="004E5F30" w:rsidRPr="00E32F6E" w:rsidRDefault="004E5F30" w:rsidP="00E32F6E">
            <w:pPr>
              <w:rPr>
                <w:rFonts w:ascii="Times New Roman" w:hAnsi="Times New Roman" w:cs="Times New Roman"/>
                <w:b/>
              </w:rPr>
            </w:pPr>
            <w:r w:rsidRPr="00E32F6E">
              <w:rPr>
                <w:rFonts w:ascii="Times New Roman" w:hAnsi="Times New Roman" w:cs="Times New Roman"/>
                <w:b/>
              </w:rPr>
              <w:t>1.1</w:t>
            </w:r>
          </w:p>
        </w:tc>
        <w:tc>
          <w:tcPr>
            <w:tcW w:w="3454" w:type="dxa"/>
            <w:shd w:val="clear" w:color="auto" w:fill="auto"/>
            <w:vAlign w:val="center"/>
          </w:tcPr>
          <w:p w:rsidR="004E5F30" w:rsidRPr="00E32F6E" w:rsidRDefault="004E5F30" w:rsidP="00E32F6E">
            <w:pPr>
              <w:rPr>
                <w:rFonts w:ascii="Times New Roman" w:hAnsi="Times New Roman" w:cs="Times New Roman"/>
                <w:b/>
              </w:rPr>
            </w:pPr>
            <w:r w:rsidRPr="00E32F6E">
              <w:rPr>
                <w:rFonts w:ascii="Times New Roman" w:hAnsi="Times New Roman" w:cs="Times New Roman"/>
                <w:b/>
              </w:rPr>
              <w:t>Organizacija:</w:t>
            </w:r>
          </w:p>
        </w:tc>
        <w:tc>
          <w:tcPr>
            <w:tcW w:w="4287" w:type="dxa"/>
            <w:shd w:val="clear" w:color="auto" w:fill="auto"/>
            <w:vAlign w:val="center"/>
          </w:tcPr>
          <w:p w:rsidR="004E5F30" w:rsidRPr="00E32F6E" w:rsidRDefault="004E5F30" w:rsidP="00E32F6E">
            <w:pPr>
              <w:rPr>
                <w:rFonts w:ascii="Times New Roman" w:hAnsi="Times New Roman" w:cs="Times New Roman"/>
                <w:b/>
              </w:rPr>
            </w:pPr>
          </w:p>
        </w:tc>
        <w:tc>
          <w:tcPr>
            <w:tcW w:w="1134" w:type="dxa"/>
            <w:shd w:val="clear" w:color="auto" w:fill="auto"/>
            <w:vAlign w:val="center"/>
          </w:tcPr>
          <w:p w:rsidR="004E5F30" w:rsidRPr="00E32F6E" w:rsidRDefault="004E5F30" w:rsidP="00E32F6E">
            <w:pPr>
              <w:rPr>
                <w:rFonts w:ascii="Times New Roman" w:hAnsi="Times New Roman" w:cs="Times New Roman"/>
                <w:b/>
              </w:rPr>
            </w:pPr>
          </w:p>
        </w:tc>
      </w:tr>
      <w:tr w:rsidR="00E32F6E" w:rsidRPr="00AD29B3" w:rsidTr="0054676E">
        <w:trPr>
          <w:cantSplit/>
        </w:trPr>
        <w:tc>
          <w:tcPr>
            <w:tcW w:w="792" w:type="dxa"/>
            <w:shd w:val="clear" w:color="auto" w:fill="auto"/>
            <w:vAlign w:val="center"/>
          </w:tcPr>
          <w:p w:rsidR="004E5F30" w:rsidRPr="00AD29B3" w:rsidRDefault="004E5F3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tcPr>
          <w:p w:rsidR="004E5F30" w:rsidRPr="00AD29B3" w:rsidRDefault="00FE47C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opiše značaj in velikost delovanja;</w:t>
            </w:r>
          </w:p>
        </w:tc>
        <w:bookmarkStart w:id="1" w:name="Besedilo1"/>
        <w:tc>
          <w:tcPr>
            <w:tcW w:w="4287" w:type="dxa"/>
            <w:shd w:val="clear" w:color="auto" w:fill="auto"/>
            <w:vAlign w:val="center"/>
          </w:tcPr>
          <w:p w:rsidR="004E5F30" w:rsidRPr="00AD29B3" w:rsidRDefault="004E5F3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bookmarkEnd w:id="1"/>
          </w:p>
        </w:tc>
        <w:tc>
          <w:tcPr>
            <w:tcW w:w="1134" w:type="dxa"/>
            <w:shd w:val="clear" w:color="auto" w:fill="auto"/>
            <w:vAlign w:val="center"/>
          </w:tcPr>
          <w:p w:rsidR="004E5F30" w:rsidRPr="00AD29B3" w:rsidRDefault="004E5F30"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F30" w:rsidRPr="00AD29B3" w:rsidRDefault="004E5F3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tcPr>
          <w:p w:rsidR="004E5F30" w:rsidRPr="00AD29B3" w:rsidRDefault="00FE47C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opredeli resna tveganja za varnost, ki izvirajo iz obratovanja železnic bodisi s strani organizacije same bodisi s strani izvajalcev, partnerjev ali dobaviteljev pod njenim nadzorom</w:t>
            </w:r>
          </w:p>
        </w:tc>
        <w:tc>
          <w:tcPr>
            <w:tcW w:w="4287" w:type="dxa"/>
            <w:shd w:val="clear" w:color="auto" w:fill="auto"/>
            <w:vAlign w:val="center"/>
          </w:tcPr>
          <w:p w:rsidR="004E5F30" w:rsidRPr="00AD29B3" w:rsidRDefault="004E5F3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F30" w:rsidRPr="00AD29B3" w:rsidRDefault="004E5F30"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F30" w:rsidRPr="00AD29B3" w:rsidRDefault="004E5F3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tcPr>
          <w:p w:rsidR="004E5F30" w:rsidRPr="00AD29B3" w:rsidRDefault="00FE47C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opredeli zainteresirane strani (npr. regulativna telesa, organe, prevoznike v železniškem prometu, upravljavce infrastrukture, izvajalce, dobavitelje, partnerje), vključno s tistimi izven železniškega sistema in pomembnimi za sistem upravljanja varnosti;</w:t>
            </w:r>
          </w:p>
        </w:tc>
        <w:tc>
          <w:tcPr>
            <w:tcW w:w="4287" w:type="dxa"/>
            <w:shd w:val="clear" w:color="auto" w:fill="auto"/>
            <w:vAlign w:val="center"/>
          </w:tcPr>
          <w:p w:rsidR="004E5F30" w:rsidRPr="00AD29B3" w:rsidRDefault="004E5F3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F30" w:rsidRPr="00AD29B3" w:rsidRDefault="004E5F30"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F30" w:rsidRPr="00AD29B3" w:rsidRDefault="00FE47C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tcPr>
          <w:p w:rsidR="004E5F30" w:rsidRPr="00AD29B3" w:rsidRDefault="00FE47C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opredeli in pri zainteresiranih straneh iz točke (c) ohranja pravne ter druge zahteve, povezane z varnostjo;</w:t>
            </w:r>
          </w:p>
        </w:tc>
        <w:tc>
          <w:tcPr>
            <w:tcW w:w="4287" w:type="dxa"/>
            <w:shd w:val="clear" w:color="auto" w:fill="auto"/>
            <w:vAlign w:val="center"/>
          </w:tcPr>
          <w:p w:rsidR="004E5F30" w:rsidRPr="00AD29B3" w:rsidRDefault="004E5F3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F30" w:rsidRPr="00AD29B3" w:rsidRDefault="004E5F30"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F30" w:rsidRPr="00AD29B3" w:rsidRDefault="00FE47C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tcPr>
          <w:p w:rsidR="004E5F30" w:rsidRPr="00AD29B3" w:rsidRDefault="00FE47C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zagotovi, da se zahteve iz točke (d) upoštevajo pri razvoju, izvajanju in vzdrževanju sistema upravljanja varnosti;</w:t>
            </w:r>
          </w:p>
        </w:tc>
        <w:tc>
          <w:tcPr>
            <w:tcW w:w="4287" w:type="dxa"/>
            <w:shd w:val="clear" w:color="auto" w:fill="auto"/>
            <w:vAlign w:val="center"/>
          </w:tcPr>
          <w:p w:rsidR="004E5F30" w:rsidRPr="00AD29B3" w:rsidRDefault="004E5F3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F30" w:rsidRPr="00AD29B3" w:rsidRDefault="004E5F30"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F30" w:rsidRPr="00AD29B3" w:rsidRDefault="00FE47C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f</w:t>
            </w:r>
          </w:p>
        </w:tc>
        <w:tc>
          <w:tcPr>
            <w:tcW w:w="3454" w:type="dxa"/>
            <w:shd w:val="clear" w:color="auto" w:fill="auto"/>
          </w:tcPr>
          <w:p w:rsidR="004E5F30" w:rsidRPr="00AD29B3" w:rsidRDefault="00FE47C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opiše obseg sistema upravljanja varnosti in navede, kateri del poslovanja je vanj vključen ali ne ter pri tem upošteva zahteve iz točke (d).</w:t>
            </w:r>
          </w:p>
        </w:tc>
        <w:tc>
          <w:tcPr>
            <w:tcW w:w="4287" w:type="dxa"/>
            <w:shd w:val="clear" w:color="auto" w:fill="auto"/>
            <w:vAlign w:val="center"/>
          </w:tcPr>
          <w:p w:rsidR="004E5F30" w:rsidRPr="00AD29B3" w:rsidRDefault="004E5F3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F30" w:rsidRPr="00AD29B3" w:rsidRDefault="004E5F30"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D9D9D9"/>
            <w:vAlign w:val="center"/>
          </w:tcPr>
          <w:p w:rsidR="009D2B37" w:rsidRPr="00E32F6E" w:rsidRDefault="008A7D95" w:rsidP="00E32F6E">
            <w:pPr>
              <w:rPr>
                <w:rFonts w:ascii="Times New Roman" w:hAnsi="Times New Roman" w:cs="Times New Roman"/>
                <w:b/>
              </w:rPr>
            </w:pPr>
            <w:r w:rsidRPr="00E32F6E">
              <w:rPr>
                <w:rFonts w:ascii="Times New Roman" w:hAnsi="Times New Roman" w:cs="Times New Roman"/>
                <w:b/>
              </w:rPr>
              <w:t>2</w:t>
            </w:r>
          </w:p>
        </w:tc>
        <w:tc>
          <w:tcPr>
            <w:tcW w:w="3454" w:type="dxa"/>
            <w:shd w:val="clear" w:color="auto" w:fill="D9D9D9"/>
            <w:vAlign w:val="center"/>
          </w:tcPr>
          <w:p w:rsidR="009D2B37" w:rsidRPr="00E32F6E" w:rsidRDefault="008A7D95" w:rsidP="00E32F6E">
            <w:pPr>
              <w:rPr>
                <w:rFonts w:ascii="Times New Roman" w:hAnsi="Times New Roman" w:cs="Times New Roman"/>
                <w:b/>
              </w:rPr>
            </w:pPr>
            <w:r w:rsidRPr="00E32F6E">
              <w:rPr>
                <w:rFonts w:ascii="Times New Roman" w:hAnsi="Times New Roman" w:cs="Times New Roman"/>
                <w:b/>
              </w:rPr>
              <w:t>VODENJE</w:t>
            </w:r>
          </w:p>
        </w:tc>
        <w:tc>
          <w:tcPr>
            <w:tcW w:w="4287" w:type="dxa"/>
            <w:shd w:val="clear" w:color="auto" w:fill="D9D9D9"/>
            <w:vAlign w:val="center"/>
          </w:tcPr>
          <w:p w:rsidR="009D2B37" w:rsidRPr="00E32F6E" w:rsidRDefault="009D2B37" w:rsidP="00E32F6E">
            <w:pPr>
              <w:rPr>
                <w:rFonts w:ascii="Times New Roman" w:hAnsi="Times New Roman" w:cs="Times New Roman"/>
                <w:b/>
              </w:rPr>
            </w:pPr>
          </w:p>
        </w:tc>
        <w:tc>
          <w:tcPr>
            <w:tcW w:w="1134" w:type="dxa"/>
            <w:shd w:val="clear" w:color="auto" w:fill="D9D9D9"/>
            <w:vAlign w:val="center"/>
          </w:tcPr>
          <w:p w:rsidR="009D2B37" w:rsidRPr="00E32F6E" w:rsidRDefault="009D2B37" w:rsidP="00E32F6E">
            <w:pPr>
              <w:rPr>
                <w:rFonts w:ascii="Times New Roman" w:hAnsi="Times New Roman" w:cs="Times New Roman"/>
                <w:b/>
              </w:rPr>
            </w:pPr>
          </w:p>
        </w:tc>
      </w:tr>
      <w:tr w:rsidR="00E32F6E" w:rsidRPr="00E32F6E" w:rsidTr="0054676E">
        <w:trPr>
          <w:cantSplit/>
        </w:trPr>
        <w:tc>
          <w:tcPr>
            <w:tcW w:w="792" w:type="dxa"/>
            <w:shd w:val="clear" w:color="auto" w:fill="auto"/>
            <w:vAlign w:val="center"/>
          </w:tcPr>
          <w:p w:rsidR="008A7D95" w:rsidRPr="00E32F6E" w:rsidRDefault="008A7D95" w:rsidP="00E32F6E">
            <w:pPr>
              <w:rPr>
                <w:rFonts w:ascii="Times New Roman" w:hAnsi="Times New Roman" w:cs="Times New Roman"/>
                <w:b/>
              </w:rPr>
            </w:pPr>
            <w:r w:rsidRPr="00E32F6E">
              <w:rPr>
                <w:rFonts w:ascii="Times New Roman" w:hAnsi="Times New Roman" w:cs="Times New Roman"/>
                <w:b/>
              </w:rPr>
              <w:t>2.1</w:t>
            </w:r>
          </w:p>
        </w:tc>
        <w:tc>
          <w:tcPr>
            <w:tcW w:w="3454" w:type="dxa"/>
            <w:shd w:val="clear" w:color="auto" w:fill="auto"/>
            <w:vAlign w:val="center"/>
          </w:tcPr>
          <w:p w:rsidR="008A7D95" w:rsidRPr="00E32F6E" w:rsidRDefault="008A7D95" w:rsidP="00E32F6E">
            <w:pPr>
              <w:rPr>
                <w:rFonts w:ascii="Times New Roman" w:hAnsi="Times New Roman" w:cs="Times New Roman"/>
                <w:b/>
              </w:rPr>
            </w:pPr>
            <w:r w:rsidRPr="00E32F6E">
              <w:rPr>
                <w:rFonts w:ascii="Times New Roman" w:hAnsi="Times New Roman" w:cs="Times New Roman"/>
                <w:b/>
              </w:rPr>
              <w:t>Vodenje in zavezanost</w:t>
            </w:r>
          </w:p>
        </w:tc>
        <w:tc>
          <w:tcPr>
            <w:tcW w:w="4287" w:type="dxa"/>
            <w:shd w:val="clear" w:color="auto" w:fill="auto"/>
            <w:vAlign w:val="center"/>
          </w:tcPr>
          <w:p w:rsidR="008A7D95" w:rsidRPr="00E32F6E" w:rsidRDefault="008A7D95" w:rsidP="00E32F6E">
            <w:pPr>
              <w:rPr>
                <w:rFonts w:ascii="Times New Roman" w:hAnsi="Times New Roman" w:cs="Times New Roman"/>
                <w:b/>
              </w:rPr>
            </w:pPr>
          </w:p>
        </w:tc>
        <w:tc>
          <w:tcPr>
            <w:tcW w:w="1134" w:type="dxa"/>
            <w:shd w:val="clear" w:color="auto" w:fill="auto"/>
            <w:vAlign w:val="center"/>
          </w:tcPr>
          <w:p w:rsidR="008A7D95" w:rsidRPr="00E32F6E" w:rsidRDefault="008A7D95" w:rsidP="00E32F6E">
            <w:pPr>
              <w:rPr>
                <w:rFonts w:ascii="Times New Roman" w:hAnsi="Times New Roman" w:cs="Times New Roman"/>
                <w:b/>
              </w:rPr>
            </w:pPr>
          </w:p>
        </w:tc>
      </w:tr>
      <w:tr w:rsidR="00E32F6E" w:rsidRPr="00AD29B3" w:rsidTr="0054676E">
        <w:trPr>
          <w:cantSplit/>
        </w:trPr>
        <w:tc>
          <w:tcPr>
            <w:tcW w:w="792" w:type="dxa"/>
            <w:shd w:val="clear" w:color="auto" w:fill="auto"/>
            <w:vAlign w:val="center"/>
          </w:tcPr>
          <w:p w:rsidR="008A7D95" w:rsidRPr="00AD29B3" w:rsidRDefault="008A7D9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2.1.1</w:t>
            </w:r>
          </w:p>
        </w:tc>
        <w:tc>
          <w:tcPr>
            <w:tcW w:w="3454" w:type="dxa"/>
            <w:shd w:val="clear" w:color="auto" w:fill="auto"/>
            <w:vAlign w:val="center"/>
          </w:tcPr>
          <w:p w:rsidR="008A7D95" w:rsidRPr="00AD29B3" w:rsidRDefault="008A7D9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Najvišje vodstvo izkaže vodstvene sposobnosti in zavezanost k razvoju, izvajanju, vzdrževanju in stalnemu izboljševanju sistema upravljanja varnosti, tako da:</w:t>
            </w:r>
          </w:p>
        </w:tc>
        <w:tc>
          <w:tcPr>
            <w:tcW w:w="4287" w:type="dxa"/>
            <w:shd w:val="clear" w:color="auto" w:fill="auto"/>
            <w:vAlign w:val="center"/>
          </w:tcPr>
          <w:p w:rsidR="008A7D95"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8A7D95" w:rsidRPr="00AD29B3" w:rsidRDefault="008A7D95"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9D2B37" w:rsidRPr="00AD29B3" w:rsidRDefault="008A7D9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9D2B37"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prevzema celotno odgovornost za varnost;</w:t>
            </w:r>
          </w:p>
        </w:tc>
        <w:tc>
          <w:tcPr>
            <w:tcW w:w="4287" w:type="dxa"/>
            <w:shd w:val="clear" w:color="auto" w:fill="auto"/>
            <w:vAlign w:val="center"/>
          </w:tcPr>
          <w:p w:rsidR="009D2B37" w:rsidRPr="00AD29B3" w:rsidRDefault="009D2B37"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9D2B37" w:rsidRPr="00AD29B3" w:rsidRDefault="009D2B3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9D2B37" w:rsidRPr="00AD29B3" w:rsidRDefault="008A7D9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9D2B37"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 ukrepi in v odnosu do osebja in izvajalcev zagotavlja zavezanost k varnosti z upravljanjem na različnih ravneh organizacije;</w:t>
            </w:r>
          </w:p>
        </w:tc>
        <w:tc>
          <w:tcPr>
            <w:tcW w:w="4287" w:type="dxa"/>
            <w:shd w:val="clear" w:color="auto" w:fill="auto"/>
            <w:vAlign w:val="center"/>
          </w:tcPr>
          <w:p w:rsidR="009D2B37" w:rsidRPr="00AD29B3" w:rsidRDefault="009D2B37"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9D2B37" w:rsidRPr="00AD29B3" w:rsidRDefault="009D2B3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9D2B37" w:rsidRPr="00AD29B3" w:rsidRDefault="008A7D9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9D2B37"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zagotavlja, da so varnostna politika in varnostni cilji oblikovani, razumljivi in skladni s strateško usmeritvijo organizacije;</w:t>
            </w:r>
          </w:p>
        </w:tc>
        <w:tc>
          <w:tcPr>
            <w:tcW w:w="4287" w:type="dxa"/>
            <w:shd w:val="clear" w:color="auto" w:fill="auto"/>
            <w:vAlign w:val="center"/>
          </w:tcPr>
          <w:p w:rsidR="009D2B37" w:rsidRPr="00AD29B3" w:rsidRDefault="009D2B37"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9D2B37" w:rsidRPr="00AD29B3" w:rsidRDefault="009D2B3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9D2B37" w:rsidRPr="00AD29B3" w:rsidRDefault="008A7D9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9D2B37"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zagotavlja vključitev zahtev za sistem upravljanja varnosti v poslovne procese organizacije;</w:t>
            </w:r>
          </w:p>
        </w:tc>
        <w:tc>
          <w:tcPr>
            <w:tcW w:w="4287" w:type="dxa"/>
            <w:shd w:val="clear" w:color="auto" w:fill="auto"/>
            <w:vAlign w:val="center"/>
          </w:tcPr>
          <w:p w:rsidR="009D2B37" w:rsidRPr="00AD29B3" w:rsidRDefault="009D2B37"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9D2B37" w:rsidRPr="00AD29B3" w:rsidRDefault="009D2B3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9D2B37" w:rsidRPr="00AD29B3" w:rsidRDefault="008A7D9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9D2B37"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zagotavlja razpoložljivost virov, potrebnih za sistem upravljanja varnosti;</w:t>
            </w:r>
          </w:p>
        </w:tc>
        <w:tc>
          <w:tcPr>
            <w:tcW w:w="4287" w:type="dxa"/>
            <w:shd w:val="clear" w:color="auto" w:fill="auto"/>
            <w:vAlign w:val="center"/>
          </w:tcPr>
          <w:p w:rsidR="009D2B37" w:rsidRPr="00AD29B3" w:rsidRDefault="009D2B37"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9D2B37" w:rsidRPr="00AD29B3" w:rsidRDefault="009D2B3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f</w:t>
            </w:r>
          </w:p>
        </w:tc>
        <w:tc>
          <w:tcPr>
            <w:tcW w:w="3454" w:type="dxa"/>
            <w:shd w:val="clear" w:color="auto" w:fill="auto"/>
            <w:vAlign w:val="center"/>
          </w:tcPr>
          <w:p w:rsidR="0026103A"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zagotavlja, da je sistem upravljanja varnosti uspešen pri nadziranju varnostnih tveganj, ki jih povzroča organizacija;</w:t>
            </w:r>
          </w:p>
        </w:tc>
        <w:tc>
          <w:tcPr>
            <w:tcW w:w="4287"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6103A" w:rsidRPr="00AD29B3" w:rsidRDefault="0026103A"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g</w:t>
            </w:r>
          </w:p>
        </w:tc>
        <w:tc>
          <w:tcPr>
            <w:tcW w:w="3454" w:type="dxa"/>
            <w:shd w:val="clear" w:color="auto" w:fill="auto"/>
            <w:vAlign w:val="center"/>
          </w:tcPr>
          <w:p w:rsidR="0026103A"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spodbuja osebje k doseganju skladnosti z zahtevami za sistem upravljanja varnosti;</w:t>
            </w:r>
          </w:p>
        </w:tc>
        <w:tc>
          <w:tcPr>
            <w:tcW w:w="4287"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6103A" w:rsidRPr="00AD29B3" w:rsidRDefault="0026103A"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h</w:t>
            </w:r>
          </w:p>
        </w:tc>
        <w:tc>
          <w:tcPr>
            <w:tcW w:w="3454" w:type="dxa"/>
            <w:shd w:val="clear" w:color="auto" w:fill="auto"/>
            <w:vAlign w:val="center"/>
          </w:tcPr>
          <w:p w:rsidR="0026103A"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spodbuja stalno izboljševanje sistema upravljanja varnosti;</w:t>
            </w:r>
          </w:p>
        </w:tc>
        <w:tc>
          <w:tcPr>
            <w:tcW w:w="4287"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6103A" w:rsidRPr="00AD29B3" w:rsidRDefault="0026103A"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i</w:t>
            </w:r>
          </w:p>
        </w:tc>
        <w:tc>
          <w:tcPr>
            <w:tcW w:w="3454" w:type="dxa"/>
            <w:shd w:val="clear" w:color="auto" w:fill="auto"/>
            <w:vAlign w:val="center"/>
          </w:tcPr>
          <w:p w:rsidR="0026103A"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zagotavlja, da se varnost upošteva pri opredelitvi in upravljanju s poslovnimi tveganji organizacije in pojasni, kako bo navzkrižje med varnostjo in drugimi poslovnimi cilji odkrito ter odpravljeno;</w:t>
            </w:r>
          </w:p>
        </w:tc>
        <w:tc>
          <w:tcPr>
            <w:tcW w:w="4287"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6103A" w:rsidRPr="00AD29B3" w:rsidRDefault="0026103A"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j</w:t>
            </w:r>
          </w:p>
        </w:tc>
        <w:tc>
          <w:tcPr>
            <w:tcW w:w="3454" w:type="dxa"/>
            <w:shd w:val="clear" w:color="auto" w:fill="auto"/>
            <w:vAlign w:val="center"/>
          </w:tcPr>
          <w:p w:rsidR="0026103A" w:rsidRPr="00AD29B3" w:rsidRDefault="0099610E"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spodbuja pozitivno kulturo varnosti.</w:t>
            </w:r>
          </w:p>
        </w:tc>
        <w:tc>
          <w:tcPr>
            <w:tcW w:w="4287" w:type="dxa"/>
            <w:shd w:val="clear" w:color="auto" w:fill="auto"/>
            <w:vAlign w:val="center"/>
          </w:tcPr>
          <w:p w:rsidR="0026103A" w:rsidRPr="00AD29B3" w:rsidRDefault="0026103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6103A" w:rsidRPr="00AD29B3" w:rsidRDefault="0026103A"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8A7D95" w:rsidRPr="00E32F6E" w:rsidRDefault="008A7D95" w:rsidP="00E32F6E">
            <w:pPr>
              <w:rPr>
                <w:rFonts w:ascii="Times New Roman" w:hAnsi="Times New Roman" w:cs="Times New Roman"/>
                <w:b/>
              </w:rPr>
            </w:pPr>
            <w:r w:rsidRPr="00E32F6E">
              <w:rPr>
                <w:rFonts w:ascii="Times New Roman" w:hAnsi="Times New Roman" w:cs="Times New Roman"/>
                <w:b/>
              </w:rPr>
              <w:t>2.2</w:t>
            </w:r>
          </w:p>
        </w:tc>
        <w:tc>
          <w:tcPr>
            <w:tcW w:w="3454" w:type="dxa"/>
            <w:shd w:val="clear" w:color="auto" w:fill="auto"/>
            <w:vAlign w:val="center"/>
          </w:tcPr>
          <w:p w:rsidR="008A7D95" w:rsidRPr="00E32F6E" w:rsidRDefault="008A7D95" w:rsidP="00E32F6E">
            <w:pPr>
              <w:rPr>
                <w:rFonts w:ascii="Times New Roman" w:hAnsi="Times New Roman" w:cs="Times New Roman"/>
                <w:b/>
              </w:rPr>
            </w:pPr>
            <w:r w:rsidRPr="00E32F6E">
              <w:rPr>
                <w:rFonts w:ascii="Times New Roman" w:hAnsi="Times New Roman" w:cs="Times New Roman"/>
                <w:b/>
              </w:rPr>
              <w:t>Varnostna politika</w:t>
            </w:r>
          </w:p>
        </w:tc>
        <w:tc>
          <w:tcPr>
            <w:tcW w:w="4287" w:type="dxa"/>
            <w:shd w:val="clear" w:color="auto" w:fill="auto"/>
            <w:vAlign w:val="center"/>
          </w:tcPr>
          <w:p w:rsidR="008A7D95" w:rsidRPr="00E32F6E" w:rsidRDefault="008A7D95" w:rsidP="00E32F6E">
            <w:pPr>
              <w:rPr>
                <w:rFonts w:ascii="Times New Roman" w:hAnsi="Times New Roman" w:cs="Times New Roman"/>
                <w:b/>
                <w:sz w:val="20"/>
                <w:szCs w:val="20"/>
              </w:rPr>
            </w:pPr>
          </w:p>
        </w:tc>
        <w:tc>
          <w:tcPr>
            <w:tcW w:w="1134" w:type="dxa"/>
            <w:shd w:val="clear" w:color="auto" w:fill="auto"/>
            <w:vAlign w:val="center"/>
          </w:tcPr>
          <w:p w:rsidR="008A7D95" w:rsidRPr="00E32F6E" w:rsidRDefault="008A7D95" w:rsidP="00E32F6E">
            <w:pPr>
              <w:rPr>
                <w:rFonts w:ascii="Times New Roman" w:hAnsi="Times New Roman" w:cs="Times New Roman"/>
                <w:b/>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2.2.1</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Najvišje vodstvo pripravi dokument z opisom varnostne politike organizacije, ki: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ustreza vrsti organizacije in velikosti obratovanja železnic;</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ga odobri glavni direktor organizacije (ali predstavnik oziroma predstavniki najvišjega vodstva);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se ga aktivno izvaja, o njem se obvesti celotno osebje in se mu ga da na razpolago.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7E1940" w:rsidRPr="00AD29B3" w:rsidRDefault="00910F82"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2.2.2</w:t>
            </w:r>
          </w:p>
        </w:tc>
        <w:tc>
          <w:tcPr>
            <w:tcW w:w="3454" w:type="dxa"/>
            <w:shd w:val="clear" w:color="auto" w:fill="auto"/>
            <w:vAlign w:val="center"/>
          </w:tcPr>
          <w:p w:rsidR="007E1940" w:rsidRPr="00AD29B3" w:rsidRDefault="00910F82"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Varnostna politika</w:t>
            </w:r>
          </w:p>
        </w:tc>
        <w:tc>
          <w:tcPr>
            <w:tcW w:w="4287" w:type="dxa"/>
            <w:shd w:val="clear" w:color="auto" w:fill="auto"/>
            <w:vAlign w:val="center"/>
          </w:tcPr>
          <w:p w:rsidR="007E1940" w:rsidRPr="00AD29B3" w:rsidRDefault="007E1940" w:rsidP="00AD29B3">
            <w:pPr>
              <w:rPr>
                <w:rFonts w:ascii="Times New Roman" w:hAnsi="Times New Roman" w:cs="Times New Roman"/>
                <w:color w:val="000000" w:themeColor="text1"/>
              </w:rPr>
            </w:pPr>
          </w:p>
        </w:tc>
        <w:tc>
          <w:tcPr>
            <w:tcW w:w="1134" w:type="dxa"/>
            <w:shd w:val="clear" w:color="auto" w:fill="auto"/>
            <w:vAlign w:val="center"/>
          </w:tcPr>
          <w:p w:rsidR="007E1940" w:rsidRPr="00AD29B3" w:rsidRDefault="007E1940"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vključuje zavezanost k izpolnitvi vseh pravnih in drugih zahtev, povezanih z varnostjo;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zagotavlja okvir za določitev varnostnih ciljev in oceno uspešnosti organizacije na področju varnosti z vidika teh ciljev;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vključuje zavezanost k nadzoru nad varnostnimi tveganji, ki izvirajo iz lastnih dejavnosti in dejavnosti drugih;</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vključuje zavezanost k stalnemu izboljševanju sistema upravljanja varnosti;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se vzdržuje v skladu s poslovno strategijo in oceno uspešnosti organizacije na področju varnosti.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7E1940" w:rsidRPr="00E32F6E" w:rsidRDefault="002E03A8" w:rsidP="00E32F6E">
            <w:pPr>
              <w:rPr>
                <w:rFonts w:ascii="Times New Roman" w:hAnsi="Times New Roman" w:cs="Times New Roman"/>
                <w:b/>
              </w:rPr>
            </w:pPr>
            <w:r w:rsidRPr="00E32F6E">
              <w:rPr>
                <w:rFonts w:ascii="Times New Roman" w:hAnsi="Times New Roman" w:cs="Times New Roman"/>
                <w:b/>
              </w:rPr>
              <w:t>2.3</w:t>
            </w:r>
          </w:p>
        </w:tc>
        <w:tc>
          <w:tcPr>
            <w:tcW w:w="3454" w:type="dxa"/>
            <w:shd w:val="clear" w:color="auto" w:fill="auto"/>
            <w:vAlign w:val="center"/>
          </w:tcPr>
          <w:p w:rsidR="007E1940" w:rsidRPr="00E32F6E" w:rsidRDefault="002E03A8" w:rsidP="00E32F6E">
            <w:pPr>
              <w:rPr>
                <w:rFonts w:ascii="Times New Roman" w:hAnsi="Times New Roman" w:cs="Times New Roman"/>
                <w:b/>
              </w:rPr>
            </w:pPr>
            <w:r w:rsidRPr="00E32F6E">
              <w:rPr>
                <w:rFonts w:ascii="Times New Roman" w:hAnsi="Times New Roman" w:cs="Times New Roman"/>
                <w:b/>
              </w:rPr>
              <w:t>Organizacijske vloge, odgovornosti in pristojnosti</w:t>
            </w:r>
          </w:p>
        </w:tc>
        <w:tc>
          <w:tcPr>
            <w:tcW w:w="4287" w:type="dxa"/>
            <w:shd w:val="clear" w:color="auto" w:fill="auto"/>
            <w:vAlign w:val="center"/>
          </w:tcPr>
          <w:p w:rsidR="007E1940" w:rsidRPr="00E32F6E" w:rsidRDefault="007E1940" w:rsidP="00E32F6E">
            <w:pPr>
              <w:rPr>
                <w:rFonts w:ascii="Times New Roman" w:hAnsi="Times New Roman" w:cs="Times New Roman"/>
                <w:b/>
                <w:sz w:val="20"/>
                <w:szCs w:val="20"/>
              </w:rPr>
            </w:pPr>
          </w:p>
        </w:tc>
        <w:tc>
          <w:tcPr>
            <w:tcW w:w="1134" w:type="dxa"/>
            <w:shd w:val="clear" w:color="auto" w:fill="auto"/>
            <w:vAlign w:val="center"/>
          </w:tcPr>
          <w:p w:rsidR="007E1940" w:rsidRPr="00E32F6E" w:rsidRDefault="007E1940" w:rsidP="00E32F6E">
            <w:pPr>
              <w:rPr>
                <w:rFonts w:ascii="Times New Roman" w:hAnsi="Times New Roman" w:cs="Times New Roman"/>
                <w:b/>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2.3.1</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Odgovornosti in pristojnosti osebja z vlogami, ki vplivajo na varnost (vključno z vodstvom in drugimi osebjem, vključenim v naloge, povezane z varnostjo), se opredelijo na vseh ravneh organizacije, dokumentirajo in dodelijo, osebje pa se o njih obvesti.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2.3.2</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Organizacija zagotovi, da ima osebje, ki so mu podeljene naloge v zvezi z varnostjo, pristojnost, znanje in ustrezne vire za izvajanje nalog, brez da jih pri tem ovirajo dejavnosti iz drugih poslovnih funkcij.</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2.3.3</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Podelitev odgovornosti za naloge v zvezi z varnostjo se dokumentira ter se o njih obvesti zadevno osebje, katero mora le-te sprejeti in razumeti.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2.3.4</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Organizacija opiše dodelitev vlog iz odstavka 2.3.1 poslovnim funkcijam v organizaciji in, kjer je ustrezno, izven organizacije (glej 5.3 Izvajalci, partnerji in dobavitelji).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2E03A8" w:rsidRPr="00E32F6E" w:rsidRDefault="006A6449" w:rsidP="00E32F6E">
            <w:pPr>
              <w:rPr>
                <w:rFonts w:ascii="Times New Roman" w:hAnsi="Times New Roman" w:cs="Times New Roman"/>
                <w:b/>
              </w:rPr>
            </w:pPr>
            <w:r w:rsidRPr="00E32F6E">
              <w:rPr>
                <w:rFonts w:ascii="Times New Roman" w:hAnsi="Times New Roman" w:cs="Times New Roman"/>
                <w:b/>
              </w:rPr>
              <w:t>2.4</w:t>
            </w:r>
          </w:p>
        </w:tc>
        <w:tc>
          <w:tcPr>
            <w:tcW w:w="3454" w:type="dxa"/>
            <w:shd w:val="clear" w:color="auto" w:fill="auto"/>
            <w:vAlign w:val="center"/>
          </w:tcPr>
          <w:p w:rsidR="002E03A8" w:rsidRPr="00E32F6E" w:rsidRDefault="006A6449" w:rsidP="00E32F6E">
            <w:pPr>
              <w:rPr>
                <w:rFonts w:ascii="Times New Roman" w:hAnsi="Times New Roman" w:cs="Times New Roman"/>
                <w:b/>
              </w:rPr>
            </w:pPr>
            <w:r w:rsidRPr="00E32F6E">
              <w:rPr>
                <w:rFonts w:ascii="Times New Roman" w:hAnsi="Times New Roman" w:cs="Times New Roman"/>
                <w:b/>
              </w:rPr>
              <w:t>Posvetovanja z osebjem in drugimi stranmi</w:t>
            </w:r>
          </w:p>
        </w:tc>
        <w:tc>
          <w:tcPr>
            <w:tcW w:w="4287" w:type="dxa"/>
            <w:shd w:val="clear" w:color="auto" w:fill="auto"/>
            <w:vAlign w:val="center"/>
          </w:tcPr>
          <w:p w:rsidR="002E03A8" w:rsidRPr="00E32F6E" w:rsidRDefault="002E03A8" w:rsidP="00E32F6E">
            <w:pPr>
              <w:rPr>
                <w:rFonts w:ascii="Times New Roman" w:hAnsi="Times New Roman" w:cs="Times New Roman"/>
                <w:b/>
                <w:sz w:val="20"/>
                <w:szCs w:val="20"/>
              </w:rPr>
            </w:pPr>
          </w:p>
        </w:tc>
        <w:tc>
          <w:tcPr>
            <w:tcW w:w="1134" w:type="dxa"/>
            <w:shd w:val="clear" w:color="auto" w:fill="auto"/>
            <w:vAlign w:val="center"/>
          </w:tcPr>
          <w:p w:rsidR="002E03A8" w:rsidRPr="00E32F6E" w:rsidRDefault="002E03A8" w:rsidP="00E32F6E">
            <w:pPr>
              <w:rPr>
                <w:rFonts w:ascii="Times New Roman" w:hAnsi="Times New Roman" w:cs="Times New Roman"/>
                <w:b/>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2.4.1</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 osebjem, predstavniki osebja in zunanjimi zainteresiranimi stranmi se, kot je ustrezno in po potrebi, izvaja posvetovanje glede razvoja, vzdrževanja in izboljšanja sistema upravljanja varnosti v delih, za katere so odgovorni, vključno z varnostnimi vidiki operativnih postopkov.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tcBorders>
              <w:bottom w:val="single" w:sz="4" w:space="0" w:color="auto"/>
            </w:tcBorders>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2.4.2</w:t>
            </w:r>
          </w:p>
        </w:tc>
        <w:tc>
          <w:tcPr>
            <w:tcW w:w="3454" w:type="dxa"/>
            <w:tcBorders>
              <w:bottom w:val="single" w:sz="4" w:space="0" w:color="auto"/>
            </w:tcBorders>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Organizacija spodbuja posvetovanja z osebjem tako, da zagotavlja metode in načine za vključitev osebja, dokumentiranje mnenja osebja in posredovanje povratnih informacij v zvezi z mnenjem osebja.</w:t>
            </w:r>
          </w:p>
        </w:tc>
        <w:tc>
          <w:tcPr>
            <w:tcW w:w="4287" w:type="dxa"/>
            <w:tcBorders>
              <w:bottom w:val="single" w:sz="4" w:space="0" w:color="auto"/>
            </w:tcBorders>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tcBorders>
              <w:bottom w:val="single" w:sz="4" w:space="0" w:color="auto"/>
            </w:tcBorders>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tcBorders>
              <w:top w:val="single" w:sz="4" w:space="0" w:color="auto"/>
            </w:tcBorders>
            <w:shd w:val="clear" w:color="auto" w:fill="D9D9D9" w:themeFill="background1" w:themeFillShade="D9"/>
            <w:vAlign w:val="center"/>
          </w:tcPr>
          <w:p w:rsidR="008A7D95" w:rsidRPr="00E32F6E" w:rsidRDefault="00762BEE" w:rsidP="00E32F6E">
            <w:pPr>
              <w:rPr>
                <w:rFonts w:ascii="Times New Roman" w:hAnsi="Times New Roman" w:cs="Times New Roman"/>
                <w:b/>
              </w:rPr>
            </w:pPr>
            <w:r w:rsidRPr="00E32F6E">
              <w:rPr>
                <w:rFonts w:ascii="Times New Roman" w:hAnsi="Times New Roman" w:cs="Times New Roman"/>
                <w:b/>
              </w:rPr>
              <w:t>3.</w:t>
            </w:r>
          </w:p>
        </w:tc>
        <w:tc>
          <w:tcPr>
            <w:tcW w:w="3454" w:type="dxa"/>
            <w:tcBorders>
              <w:top w:val="single" w:sz="4" w:space="0" w:color="auto"/>
            </w:tcBorders>
            <w:shd w:val="clear" w:color="auto" w:fill="D9D9D9" w:themeFill="background1" w:themeFillShade="D9"/>
            <w:vAlign w:val="center"/>
          </w:tcPr>
          <w:p w:rsidR="008A7D95" w:rsidRPr="00E32F6E" w:rsidRDefault="00762BEE" w:rsidP="00E32F6E">
            <w:pPr>
              <w:rPr>
                <w:rFonts w:ascii="Times New Roman" w:hAnsi="Times New Roman" w:cs="Times New Roman"/>
                <w:b/>
              </w:rPr>
            </w:pPr>
            <w:r w:rsidRPr="00E32F6E">
              <w:rPr>
                <w:rFonts w:ascii="Times New Roman" w:hAnsi="Times New Roman" w:cs="Times New Roman"/>
                <w:b/>
              </w:rPr>
              <w:t>NAČRTOVANJE</w:t>
            </w:r>
          </w:p>
        </w:tc>
        <w:tc>
          <w:tcPr>
            <w:tcW w:w="4287" w:type="dxa"/>
            <w:tcBorders>
              <w:top w:val="single" w:sz="4" w:space="0" w:color="auto"/>
            </w:tcBorders>
            <w:shd w:val="clear" w:color="auto" w:fill="D9D9D9" w:themeFill="background1" w:themeFillShade="D9"/>
            <w:vAlign w:val="center"/>
          </w:tcPr>
          <w:p w:rsidR="008A7D95" w:rsidRPr="00E32F6E" w:rsidRDefault="008A7D95" w:rsidP="00E32F6E">
            <w:pPr>
              <w:rPr>
                <w:rFonts w:ascii="Times New Roman" w:hAnsi="Times New Roman" w:cs="Times New Roman"/>
                <w:b/>
              </w:rPr>
            </w:pPr>
          </w:p>
        </w:tc>
        <w:tc>
          <w:tcPr>
            <w:tcW w:w="1134" w:type="dxa"/>
            <w:tcBorders>
              <w:top w:val="single" w:sz="4" w:space="0" w:color="auto"/>
            </w:tcBorders>
            <w:shd w:val="clear" w:color="auto" w:fill="D9D9D9" w:themeFill="background1" w:themeFillShade="D9"/>
            <w:vAlign w:val="center"/>
          </w:tcPr>
          <w:p w:rsidR="008A7D95" w:rsidRPr="00E32F6E" w:rsidRDefault="008A7D95" w:rsidP="00E32F6E">
            <w:pPr>
              <w:rPr>
                <w:rFonts w:ascii="Times New Roman" w:hAnsi="Times New Roman" w:cs="Times New Roman"/>
                <w:b/>
              </w:rPr>
            </w:pPr>
          </w:p>
        </w:tc>
      </w:tr>
      <w:tr w:rsidR="00E32F6E" w:rsidRPr="00E32F6E" w:rsidTr="0054676E">
        <w:trPr>
          <w:cantSplit/>
        </w:trPr>
        <w:tc>
          <w:tcPr>
            <w:tcW w:w="792" w:type="dxa"/>
            <w:shd w:val="clear" w:color="auto" w:fill="auto"/>
            <w:vAlign w:val="center"/>
          </w:tcPr>
          <w:p w:rsidR="002E03A8" w:rsidRPr="00E32F6E" w:rsidRDefault="00762BEE" w:rsidP="00E32F6E">
            <w:pPr>
              <w:rPr>
                <w:rFonts w:ascii="Times New Roman" w:hAnsi="Times New Roman" w:cs="Times New Roman"/>
                <w:b/>
              </w:rPr>
            </w:pPr>
            <w:r w:rsidRPr="00E32F6E">
              <w:rPr>
                <w:rFonts w:ascii="Times New Roman" w:hAnsi="Times New Roman" w:cs="Times New Roman"/>
                <w:b/>
              </w:rPr>
              <w:t>3.1</w:t>
            </w:r>
          </w:p>
        </w:tc>
        <w:tc>
          <w:tcPr>
            <w:tcW w:w="3454" w:type="dxa"/>
            <w:shd w:val="clear" w:color="auto" w:fill="auto"/>
            <w:vAlign w:val="center"/>
          </w:tcPr>
          <w:p w:rsidR="002E03A8" w:rsidRPr="00E32F6E" w:rsidRDefault="00762BEE" w:rsidP="00E32F6E">
            <w:pPr>
              <w:rPr>
                <w:rFonts w:ascii="Times New Roman" w:hAnsi="Times New Roman" w:cs="Times New Roman"/>
                <w:b/>
              </w:rPr>
            </w:pPr>
            <w:r w:rsidRPr="00E32F6E">
              <w:rPr>
                <w:rFonts w:ascii="Times New Roman" w:hAnsi="Times New Roman" w:cs="Times New Roman"/>
                <w:b/>
              </w:rPr>
              <w:t>Ukrepi za obravnavo tveganj</w:t>
            </w:r>
          </w:p>
        </w:tc>
        <w:tc>
          <w:tcPr>
            <w:tcW w:w="4287" w:type="dxa"/>
            <w:shd w:val="clear" w:color="auto" w:fill="auto"/>
            <w:vAlign w:val="center"/>
          </w:tcPr>
          <w:p w:rsidR="002E03A8" w:rsidRPr="00E32F6E" w:rsidRDefault="002E03A8" w:rsidP="00E32F6E">
            <w:pPr>
              <w:rPr>
                <w:rFonts w:ascii="Times New Roman" w:hAnsi="Times New Roman" w:cs="Times New Roman"/>
                <w:b/>
                <w:sz w:val="20"/>
                <w:szCs w:val="20"/>
              </w:rPr>
            </w:pPr>
          </w:p>
        </w:tc>
        <w:tc>
          <w:tcPr>
            <w:tcW w:w="1134" w:type="dxa"/>
            <w:shd w:val="clear" w:color="auto" w:fill="auto"/>
            <w:vAlign w:val="center"/>
          </w:tcPr>
          <w:p w:rsidR="002E03A8" w:rsidRPr="00E32F6E" w:rsidRDefault="002E03A8" w:rsidP="00E32F6E">
            <w:pPr>
              <w:rPr>
                <w:rFonts w:ascii="Times New Roman" w:hAnsi="Times New Roman" w:cs="Times New Roman"/>
                <w:b/>
              </w:rPr>
            </w:pPr>
          </w:p>
        </w:tc>
      </w:tr>
      <w:tr w:rsidR="00E32F6E" w:rsidRPr="00E32F6E" w:rsidTr="0054676E">
        <w:trPr>
          <w:cantSplit/>
        </w:trPr>
        <w:tc>
          <w:tcPr>
            <w:tcW w:w="792" w:type="dxa"/>
            <w:shd w:val="clear" w:color="auto" w:fill="auto"/>
            <w:vAlign w:val="center"/>
          </w:tcPr>
          <w:p w:rsidR="00762BEE" w:rsidRPr="00E32F6E" w:rsidRDefault="00056B75" w:rsidP="00E32F6E">
            <w:pPr>
              <w:rPr>
                <w:rFonts w:ascii="Times New Roman" w:hAnsi="Times New Roman" w:cs="Times New Roman"/>
                <w:b/>
              </w:rPr>
            </w:pPr>
            <w:r w:rsidRPr="00E32F6E">
              <w:rPr>
                <w:rFonts w:ascii="Times New Roman" w:hAnsi="Times New Roman" w:cs="Times New Roman"/>
                <w:b/>
              </w:rPr>
              <w:t>3.1.1</w:t>
            </w:r>
          </w:p>
        </w:tc>
        <w:tc>
          <w:tcPr>
            <w:tcW w:w="3454" w:type="dxa"/>
            <w:shd w:val="clear" w:color="auto" w:fill="auto"/>
            <w:vAlign w:val="center"/>
          </w:tcPr>
          <w:p w:rsidR="00762BEE" w:rsidRPr="00E32F6E" w:rsidRDefault="00056B75" w:rsidP="00E32F6E">
            <w:pPr>
              <w:rPr>
                <w:rFonts w:ascii="Times New Roman" w:hAnsi="Times New Roman" w:cs="Times New Roman"/>
                <w:b/>
              </w:rPr>
            </w:pPr>
            <w:r w:rsidRPr="00E32F6E">
              <w:rPr>
                <w:rFonts w:ascii="Times New Roman" w:hAnsi="Times New Roman" w:cs="Times New Roman"/>
                <w:b/>
              </w:rPr>
              <w:t>Ocena tveganja</w:t>
            </w:r>
          </w:p>
        </w:tc>
        <w:tc>
          <w:tcPr>
            <w:tcW w:w="4287" w:type="dxa"/>
            <w:shd w:val="clear" w:color="auto" w:fill="auto"/>
            <w:vAlign w:val="center"/>
          </w:tcPr>
          <w:p w:rsidR="00762BEE" w:rsidRPr="00E32F6E" w:rsidRDefault="00762BEE" w:rsidP="00E32F6E">
            <w:pPr>
              <w:rPr>
                <w:rFonts w:ascii="Times New Roman" w:hAnsi="Times New Roman" w:cs="Times New Roman"/>
                <w:b/>
                <w:sz w:val="20"/>
                <w:szCs w:val="20"/>
              </w:rPr>
            </w:pPr>
          </w:p>
        </w:tc>
        <w:tc>
          <w:tcPr>
            <w:tcW w:w="1134" w:type="dxa"/>
            <w:shd w:val="clear" w:color="auto" w:fill="auto"/>
            <w:vAlign w:val="center"/>
          </w:tcPr>
          <w:p w:rsidR="00762BEE" w:rsidRPr="00E32F6E" w:rsidRDefault="00762BEE" w:rsidP="00E32F6E">
            <w:pPr>
              <w:rPr>
                <w:rFonts w:ascii="Times New Roman" w:hAnsi="Times New Roman" w:cs="Times New Roman"/>
                <w:b/>
              </w:rPr>
            </w:pPr>
          </w:p>
        </w:tc>
      </w:tr>
      <w:tr w:rsidR="00E32F6E" w:rsidRPr="00AD29B3" w:rsidTr="0054676E">
        <w:trPr>
          <w:cantSplit/>
        </w:trPr>
        <w:tc>
          <w:tcPr>
            <w:tcW w:w="792" w:type="dxa"/>
            <w:shd w:val="clear" w:color="auto" w:fill="auto"/>
            <w:vAlign w:val="center"/>
          </w:tcPr>
          <w:p w:rsidR="00762BEE" w:rsidRPr="00AD29B3" w:rsidRDefault="00056B7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3.1.1.1</w:t>
            </w:r>
          </w:p>
        </w:tc>
        <w:tc>
          <w:tcPr>
            <w:tcW w:w="3454" w:type="dxa"/>
            <w:shd w:val="clear" w:color="auto" w:fill="auto"/>
            <w:vAlign w:val="center"/>
          </w:tcPr>
          <w:p w:rsidR="00762BEE" w:rsidRPr="00AD29B3" w:rsidRDefault="00056B7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Organizacija:</w:t>
            </w:r>
          </w:p>
        </w:tc>
        <w:tc>
          <w:tcPr>
            <w:tcW w:w="4287" w:type="dxa"/>
            <w:shd w:val="clear" w:color="auto" w:fill="auto"/>
            <w:vAlign w:val="center"/>
          </w:tcPr>
          <w:p w:rsidR="00762BEE" w:rsidRPr="00AD29B3" w:rsidRDefault="00762BEE" w:rsidP="00AD29B3">
            <w:pPr>
              <w:rPr>
                <w:rFonts w:ascii="Times New Roman" w:hAnsi="Times New Roman" w:cs="Times New Roman"/>
                <w:color w:val="000000" w:themeColor="text1"/>
              </w:rPr>
            </w:pPr>
          </w:p>
        </w:tc>
        <w:tc>
          <w:tcPr>
            <w:tcW w:w="1134" w:type="dxa"/>
            <w:shd w:val="clear" w:color="auto" w:fill="auto"/>
            <w:vAlign w:val="center"/>
          </w:tcPr>
          <w:p w:rsidR="00762BEE" w:rsidRPr="00AD29B3" w:rsidRDefault="00762BEE"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opredeli in analizira vsa obratovalna, organizacijska in tehnična tveganja, ki so relevantna za značaj in velikost delovanja organizacije. Takšna tveganja vključujejo tveganja, ki izvirajo iz človeških in organizacijskih dejavnikov, kot so delovna obremenitev, vrsta dela, utrujenost ali ustreznost postopkov in aktivnosti drugih zainteresiranih strani (glej 1. Organizacijska zasnova);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oceni tveganja iz točke (a) z uporabo ustreznih metod ocenjevanja tveganj;</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razvije in uvede varnostne ukrepe z opredelitvijo pripadajočih odgovornosti (glej 2.3 Organizacijske vloge, odgovornosti in pristojnosti);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razvije sistem za spremljanje uspešnosti varnostnih ukrepov (glej 6.1 Spremljanje);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pri deljenih tveganjih in uvedbi primernih varnostnih ukrepov prizna potrebo po sodelovanju z drugimi zainteresiranimi stranmi (kot so prevozniki v železniškem prometu, upravljavci infrastrukture, proizvajalci, izvajalci storitev vzdrževanja, subjekti, zadolženi za vzdrževanje, imetniki železniških vozil, ponudniki storitev in subjekti za nabave), kot je ustrezno;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f</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obvešča osebje in vpletene zunanje strani o tveganjih (glej 4.4 Informacije in sporočanje).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3.1.1.2</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Pri oceni tveganj organizacija upošteva potrebo po določitvi, zagotovitvi in ohranitvi varnega delovnega okolja, ki ustreza veljavni zakonodaji, zlasti Direktivi 89/391/EGS.</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056B75" w:rsidRPr="00E32F6E" w:rsidRDefault="006B6D60"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3.1.2</w:t>
            </w:r>
          </w:p>
        </w:tc>
        <w:tc>
          <w:tcPr>
            <w:tcW w:w="3454" w:type="dxa"/>
            <w:shd w:val="clear" w:color="auto" w:fill="auto"/>
            <w:vAlign w:val="center"/>
          </w:tcPr>
          <w:p w:rsidR="00056B75" w:rsidRPr="00E32F6E" w:rsidRDefault="006B6D60"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Načrtovanje sprememb</w:t>
            </w:r>
          </w:p>
        </w:tc>
        <w:tc>
          <w:tcPr>
            <w:tcW w:w="4287" w:type="dxa"/>
            <w:shd w:val="clear" w:color="auto" w:fill="auto"/>
            <w:vAlign w:val="center"/>
          </w:tcPr>
          <w:p w:rsidR="00056B75" w:rsidRPr="00E32F6E" w:rsidRDefault="00056B75" w:rsidP="00E32F6E">
            <w:pPr>
              <w:rPr>
                <w:rFonts w:ascii="Times New Roman" w:hAnsi="Times New Roman" w:cs="Times New Roman"/>
                <w:b/>
                <w:color w:val="000000" w:themeColor="text1"/>
              </w:rPr>
            </w:pPr>
          </w:p>
        </w:tc>
        <w:tc>
          <w:tcPr>
            <w:tcW w:w="1134" w:type="dxa"/>
            <w:shd w:val="clear" w:color="auto" w:fill="auto"/>
            <w:vAlign w:val="center"/>
          </w:tcPr>
          <w:p w:rsidR="00056B75" w:rsidRPr="00E32F6E" w:rsidRDefault="00056B75"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056B75" w:rsidRPr="00AD29B3" w:rsidRDefault="006B6D6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3.1.2.1</w:t>
            </w:r>
          </w:p>
        </w:tc>
        <w:tc>
          <w:tcPr>
            <w:tcW w:w="3454" w:type="dxa"/>
            <w:shd w:val="clear" w:color="auto" w:fill="auto"/>
            <w:vAlign w:val="center"/>
          </w:tcPr>
          <w:p w:rsidR="00056B75" w:rsidRPr="00AD29B3" w:rsidRDefault="006B6D60" w:rsidP="00AD29B3">
            <w:pPr>
              <w:rPr>
                <w:rFonts w:ascii="Times New Roman" w:hAnsi="Times New Roman" w:cs="Times New Roman"/>
                <w:b/>
                <w:color w:val="000000" w:themeColor="text1"/>
              </w:rPr>
            </w:pPr>
            <w:r w:rsidRPr="00AD29B3">
              <w:rPr>
                <w:rFonts w:ascii="Times New Roman" w:hAnsi="Times New Roman" w:cs="Times New Roman"/>
                <w:color w:val="000000" w:themeColor="text1"/>
                <w:shd w:val="clear" w:color="auto" w:fill="FFFFFF"/>
              </w:rPr>
              <w:t>Organizacija opredeli morebitna varnostna tveganja in ustrezne varnostne ukrepe (glej 3.1.1 Ocena tveganj) pred izvedbo spremembe (glej 5.4 Upravljanje sprememb) v skladu s postopkom upravljanja tveganj iz Izvedbene uredbe (EU) št. 402/2013, vključno z obravnavo varnostnih tveganj zaradi same spremembe procesa</w:t>
            </w:r>
          </w:p>
        </w:tc>
        <w:tc>
          <w:tcPr>
            <w:tcW w:w="4287" w:type="dxa"/>
            <w:shd w:val="clear" w:color="auto" w:fill="auto"/>
            <w:vAlign w:val="center"/>
          </w:tcPr>
          <w:p w:rsidR="00056B75"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056B75" w:rsidRPr="00AD29B3" w:rsidRDefault="00056B75"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056B75" w:rsidRPr="00E32F6E" w:rsidRDefault="00E41C18"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3.2</w:t>
            </w:r>
          </w:p>
        </w:tc>
        <w:tc>
          <w:tcPr>
            <w:tcW w:w="3454" w:type="dxa"/>
            <w:shd w:val="clear" w:color="auto" w:fill="auto"/>
            <w:vAlign w:val="center"/>
          </w:tcPr>
          <w:p w:rsidR="00056B75" w:rsidRPr="00E32F6E" w:rsidRDefault="00E41C18"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Varnostni cilji in načrtovanje</w:t>
            </w:r>
          </w:p>
        </w:tc>
        <w:tc>
          <w:tcPr>
            <w:tcW w:w="4287" w:type="dxa"/>
            <w:shd w:val="clear" w:color="auto" w:fill="auto"/>
            <w:vAlign w:val="center"/>
          </w:tcPr>
          <w:p w:rsidR="00056B75" w:rsidRPr="00E32F6E" w:rsidRDefault="00056B75" w:rsidP="00E32F6E">
            <w:pPr>
              <w:rPr>
                <w:rFonts w:ascii="Times New Roman" w:hAnsi="Times New Roman" w:cs="Times New Roman"/>
                <w:b/>
                <w:color w:val="000000" w:themeColor="text1"/>
              </w:rPr>
            </w:pPr>
          </w:p>
        </w:tc>
        <w:tc>
          <w:tcPr>
            <w:tcW w:w="1134" w:type="dxa"/>
            <w:shd w:val="clear" w:color="auto" w:fill="auto"/>
            <w:vAlign w:val="center"/>
          </w:tcPr>
          <w:p w:rsidR="00056B75" w:rsidRPr="00E32F6E" w:rsidRDefault="00056B75"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056B75" w:rsidRPr="00AD29B3" w:rsidRDefault="00E41C18"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3.2.1</w:t>
            </w:r>
          </w:p>
        </w:tc>
        <w:tc>
          <w:tcPr>
            <w:tcW w:w="3454" w:type="dxa"/>
            <w:shd w:val="clear" w:color="auto" w:fill="auto"/>
            <w:vAlign w:val="center"/>
          </w:tcPr>
          <w:p w:rsidR="00056B75" w:rsidRPr="00AD29B3" w:rsidRDefault="00E41C18"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oblikuje varnostne cilje za zadevne funkcije na zadevnih ravneh za vzdrževanje in, kjer je razumno izvedljivo, izboljšanje uspešnosti organizacije na področju varnosti.</w:t>
            </w:r>
          </w:p>
        </w:tc>
        <w:tc>
          <w:tcPr>
            <w:tcW w:w="4287" w:type="dxa"/>
            <w:shd w:val="clear" w:color="auto" w:fill="auto"/>
            <w:vAlign w:val="center"/>
          </w:tcPr>
          <w:p w:rsidR="00056B75"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056B75" w:rsidRPr="00AD29B3" w:rsidRDefault="00056B75"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56B75" w:rsidRPr="00AD29B3" w:rsidRDefault="00E41C18"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3.2.2</w:t>
            </w:r>
          </w:p>
        </w:tc>
        <w:tc>
          <w:tcPr>
            <w:tcW w:w="3454" w:type="dxa"/>
            <w:shd w:val="clear" w:color="auto" w:fill="auto"/>
            <w:vAlign w:val="center"/>
          </w:tcPr>
          <w:p w:rsidR="00056B75" w:rsidRPr="00AD29B3" w:rsidRDefault="00402544"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Varnostni cilji:</w:t>
            </w:r>
          </w:p>
        </w:tc>
        <w:tc>
          <w:tcPr>
            <w:tcW w:w="4287" w:type="dxa"/>
            <w:shd w:val="clear" w:color="auto" w:fill="auto"/>
            <w:vAlign w:val="center"/>
          </w:tcPr>
          <w:p w:rsidR="00056B75" w:rsidRPr="00AD29B3" w:rsidRDefault="00056B75" w:rsidP="00AD29B3">
            <w:pPr>
              <w:rPr>
                <w:rFonts w:ascii="Times New Roman" w:hAnsi="Times New Roman" w:cs="Times New Roman"/>
                <w:color w:val="000000" w:themeColor="text1"/>
              </w:rPr>
            </w:pPr>
          </w:p>
        </w:tc>
        <w:tc>
          <w:tcPr>
            <w:tcW w:w="1134" w:type="dxa"/>
            <w:shd w:val="clear" w:color="auto" w:fill="auto"/>
            <w:vAlign w:val="center"/>
          </w:tcPr>
          <w:p w:rsidR="00056B75" w:rsidRPr="00AD29B3" w:rsidRDefault="00056B75"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so skladni z varnostno politiko in strateškimi cilji organizacije (kjer je ustrezno);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so povezani s prednostnimi tveganji, ki vplivajo na uspešnost organizacije na področju varnosti;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so merljivi;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upoštevajo veljavne pravne in druge zahteve;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se pregledajo z vidika dosežkov in po potrebi revidirajo;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f</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so vključeni v obveščanje.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3.2.3</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ima načrt z opisom, kako bo dosegla varnostne cilje.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3.2.4</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opiše strategijo in načrte za spremljanje doseganja varnostnih ciljev (glej 6.1 Spremljanje).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D9D9D9" w:themeFill="background1" w:themeFillShade="D9"/>
            <w:vAlign w:val="center"/>
          </w:tcPr>
          <w:p w:rsidR="00056B75" w:rsidRPr="00E32F6E" w:rsidRDefault="00402544"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4.</w:t>
            </w:r>
          </w:p>
        </w:tc>
        <w:tc>
          <w:tcPr>
            <w:tcW w:w="3454" w:type="dxa"/>
            <w:shd w:val="clear" w:color="auto" w:fill="D9D9D9" w:themeFill="background1" w:themeFillShade="D9"/>
            <w:vAlign w:val="center"/>
          </w:tcPr>
          <w:p w:rsidR="00056B75" w:rsidRPr="00E32F6E" w:rsidRDefault="00402544"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PODPORA</w:t>
            </w:r>
          </w:p>
        </w:tc>
        <w:tc>
          <w:tcPr>
            <w:tcW w:w="4287" w:type="dxa"/>
            <w:shd w:val="clear" w:color="auto" w:fill="D9D9D9" w:themeFill="background1" w:themeFillShade="D9"/>
            <w:vAlign w:val="center"/>
          </w:tcPr>
          <w:p w:rsidR="00056B75" w:rsidRPr="00E32F6E" w:rsidRDefault="00056B75" w:rsidP="00E32F6E">
            <w:pPr>
              <w:rPr>
                <w:rFonts w:ascii="Times New Roman" w:hAnsi="Times New Roman" w:cs="Times New Roman"/>
                <w:b/>
                <w:color w:val="000000" w:themeColor="text1"/>
              </w:rPr>
            </w:pPr>
          </w:p>
        </w:tc>
        <w:tc>
          <w:tcPr>
            <w:tcW w:w="1134" w:type="dxa"/>
            <w:shd w:val="clear" w:color="auto" w:fill="D9D9D9" w:themeFill="background1" w:themeFillShade="D9"/>
            <w:vAlign w:val="center"/>
          </w:tcPr>
          <w:p w:rsidR="00056B75" w:rsidRPr="00E32F6E" w:rsidRDefault="00056B75" w:rsidP="00E32F6E">
            <w:pPr>
              <w:rPr>
                <w:rFonts w:ascii="Times New Roman" w:hAnsi="Times New Roman" w:cs="Times New Roman"/>
                <w:b/>
                <w:color w:val="000000" w:themeColor="text1"/>
              </w:rPr>
            </w:pPr>
          </w:p>
        </w:tc>
      </w:tr>
      <w:tr w:rsidR="00E32F6E" w:rsidRPr="00E32F6E" w:rsidTr="0054676E">
        <w:trPr>
          <w:cantSplit/>
        </w:trPr>
        <w:tc>
          <w:tcPr>
            <w:tcW w:w="792" w:type="dxa"/>
            <w:shd w:val="clear" w:color="auto" w:fill="auto"/>
            <w:vAlign w:val="center"/>
          </w:tcPr>
          <w:p w:rsidR="00762BEE" w:rsidRPr="00E32F6E" w:rsidRDefault="00294368"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4.1</w:t>
            </w:r>
          </w:p>
        </w:tc>
        <w:tc>
          <w:tcPr>
            <w:tcW w:w="3454" w:type="dxa"/>
            <w:shd w:val="clear" w:color="auto" w:fill="auto"/>
            <w:vAlign w:val="center"/>
          </w:tcPr>
          <w:p w:rsidR="00762BEE" w:rsidRPr="00E32F6E" w:rsidRDefault="00294368"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Viri</w:t>
            </w:r>
          </w:p>
        </w:tc>
        <w:tc>
          <w:tcPr>
            <w:tcW w:w="4287" w:type="dxa"/>
            <w:shd w:val="clear" w:color="auto" w:fill="auto"/>
            <w:vAlign w:val="center"/>
          </w:tcPr>
          <w:p w:rsidR="00762BEE" w:rsidRPr="00E32F6E" w:rsidRDefault="00762BEE" w:rsidP="00E32F6E">
            <w:pPr>
              <w:rPr>
                <w:rFonts w:ascii="Times New Roman" w:hAnsi="Times New Roman" w:cs="Times New Roman"/>
                <w:b/>
                <w:color w:val="000000" w:themeColor="text1"/>
              </w:rPr>
            </w:pPr>
          </w:p>
        </w:tc>
        <w:tc>
          <w:tcPr>
            <w:tcW w:w="1134" w:type="dxa"/>
            <w:shd w:val="clear" w:color="auto" w:fill="auto"/>
            <w:vAlign w:val="center"/>
          </w:tcPr>
          <w:p w:rsidR="00762BEE" w:rsidRPr="00E32F6E" w:rsidRDefault="00762BEE"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762BEE" w:rsidRPr="00AD29B3" w:rsidRDefault="00294368"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4.1.1</w:t>
            </w:r>
          </w:p>
        </w:tc>
        <w:tc>
          <w:tcPr>
            <w:tcW w:w="3454" w:type="dxa"/>
            <w:shd w:val="clear" w:color="auto" w:fill="auto"/>
            <w:vAlign w:val="center"/>
          </w:tcPr>
          <w:p w:rsidR="00762BEE" w:rsidRPr="00AD29B3" w:rsidRDefault="00294368"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zagotovi vire, vključno z usposobljenim osebjem ter učinkovito in uporabno opremo, potrebne za vzpostavitev, izvajanje, vzdrževanje in stalno izboljševanje sistema upravljanja varnosti.</w:t>
            </w:r>
          </w:p>
        </w:tc>
        <w:tc>
          <w:tcPr>
            <w:tcW w:w="4287" w:type="dxa"/>
            <w:shd w:val="clear" w:color="auto" w:fill="auto"/>
            <w:vAlign w:val="center"/>
          </w:tcPr>
          <w:p w:rsidR="00762BEE"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762BEE" w:rsidRPr="00AD29B3" w:rsidRDefault="00762BEE"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762BEE" w:rsidRPr="00E32F6E" w:rsidRDefault="00294368"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4.2</w:t>
            </w:r>
          </w:p>
        </w:tc>
        <w:tc>
          <w:tcPr>
            <w:tcW w:w="3454" w:type="dxa"/>
            <w:shd w:val="clear" w:color="auto" w:fill="auto"/>
            <w:vAlign w:val="center"/>
          </w:tcPr>
          <w:p w:rsidR="00762BEE" w:rsidRPr="00E32F6E" w:rsidRDefault="00294368"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Usposobljenost</w:t>
            </w:r>
          </w:p>
        </w:tc>
        <w:tc>
          <w:tcPr>
            <w:tcW w:w="4287" w:type="dxa"/>
            <w:shd w:val="clear" w:color="auto" w:fill="auto"/>
            <w:vAlign w:val="center"/>
          </w:tcPr>
          <w:p w:rsidR="00762BEE" w:rsidRPr="00E32F6E" w:rsidRDefault="00762BEE" w:rsidP="00E32F6E">
            <w:pPr>
              <w:rPr>
                <w:rFonts w:ascii="Times New Roman" w:hAnsi="Times New Roman" w:cs="Times New Roman"/>
                <w:b/>
                <w:color w:val="000000" w:themeColor="text1"/>
              </w:rPr>
            </w:pPr>
          </w:p>
        </w:tc>
        <w:tc>
          <w:tcPr>
            <w:tcW w:w="1134" w:type="dxa"/>
            <w:shd w:val="clear" w:color="auto" w:fill="auto"/>
            <w:vAlign w:val="center"/>
          </w:tcPr>
          <w:p w:rsidR="00762BEE" w:rsidRPr="00E32F6E" w:rsidRDefault="00762BEE"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294368" w:rsidRPr="00AD29B3" w:rsidRDefault="00294368"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4.2.1</w:t>
            </w:r>
          </w:p>
        </w:tc>
        <w:tc>
          <w:tcPr>
            <w:tcW w:w="3454" w:type="dxa"/>
            <w:shd w:val="clear" w:color="auto" w:fill="auto"/>
            <w:vAlign w:val="center"/>
          </w:tcPr>
          <w:p w:rsidR="00294368" w:rsidRPr="00AD29B3" w:rsidRDefault="00294368"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Sistem upravljanja usposobljenosti zagotovi, da je osebje z nalogami, ki vplivajo na varnost, usposobljeno za te naloge v zvezi z varnostjo, za katere je odgovorno (glej 2.3 Organizacijske vloge, odgovornosti in pristojnosti), vključno z vsaj:</w:t>
            </w:r>
          </w:p>
        </w:tc>
        <w:tc>
          <w:tcPr>
            <w:tcW w:w="4287" w:type="dxa"/>
            <w:shd w:val="clear" w:color="auto" w:fill="auto"/>
            <w:vAlign w:val="center"/>
          </w:tcPr>
          <w:p w:rsidR="00294368" w:rsidRPr="00AD29B3" w:rsidRDefault="00294368" w:rsidP="00AD29B3">
            <w:pPr>
              <w:rPr>
                <w:rFonts w:ascii="Times New Roman" w:hAnsi="Times New Roman" w:cs="Times New Roman"/>
                <w:color w:val="000000" w:themeColor="text1"/>
              </w:rPr>
            </w:pPr>
          </w:p>
        </w:tc>
        <w:tc>
          <w:tcPr>
            <w:tcW w:w="1134" w:type="dxa"/>
            <w:shd w:val="clear" w:color="auto" w:fill="auto"/>
            <w:vAlign w:val="center"/>
          </w:tcPr>
          <w:p w:rsidR="00294368" w:rsidRPr="00AD29B3" w:rsidRDefault="00294368"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opredelitvijo usposobljenosti (vključno z znanjem, veščinami, netehničnim ravnanjem in odnosom), potrebne za naloge v zvezi z varnostjo;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načeli za izbor (zahtevana osnovna izobrazba, psihična in fizična pripravljenost);</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začetnim usposabljanjem, izkušnjami in kvalifikacijami;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tekočim usposabljanjem in rednim nadgrajevanjem obstoječih znanj;</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redno oceno usposobljenosti ter pregledom psihične in fizične pripravljenosti, da se zagotovi dolgoročna ohranitev kvalifikacij in veščin;</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f</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posebnim usposabljanjem za ustrezne dele sistema upravljanja varnosti za izpolnitev nalog v zvezi z varnostjo.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94368" w:rsidRPr="00AD29B3" w:rsidRDefault="00F30D84"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4.2.2</w:t>
            </w:r>
          </w:p>
        </w:tc>
        <w:tc>
          <w:tcPr>
            <w:tcW w:w="3454" w:type="dxa"/>
            <w:shd w:val="clear" w:color="auto" w:fill="auto"/>
            <w:vAlign w:val="center"/>
          </w:tcPr>
          <w:p w:rsidR="00294368" w:rsidRPr="00AD29B3" w:rsidRDefault="00F30D84"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Za osebje, ki izvaja naloge v zvezi z varnostjo, organizacija pripravi program usposabljanja, kot je določeno v točkah (c), (d) in (f) odstavka 4.2.1, kar zagotavlja, da:</w:t>
            </w:r>
          </w:p>
        </w:tc>
        <w:tc>
          <w:tcPr>
            <w:tcW w:w="4287" w:type="dxa"/>
            <w:shd w:val="clear" w:color="auto" w:fill="auto"/>
            <w:vAlign w:val="center"/>
          </w:tcPr>
          <w:p w:rsidR="00294368" w:rsidRPr="00AD29B3" w:rsidRDefault="00294368" w:rsidP="00AD29B3">
            <w:pPr>
              <w:rPr>
                <w:rFonts w:ascii="Times New Roman" w:hAnsi="Times New Roman" w:cs="Times New Roman"/>
                <w:color w:val="000000" w:themeColor="text1"/>
              </w:rPr>
            </w:pPr>
          </w:p>
        </w:tc>
        <w:tc>
          <w:tcPr>
            <w:tcW w:w="1134" w:type="dxa"/>
            <w:shd w:val="clear" w:color="auto" w:fill="auto"/>
            <w:vAlign w:val="center"/>
          </w:tcPr>
          <w:p w:rsidR="00294368" w:rsidRPr="00AD29B3" w:rsidRDefault="00294368"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se program usposabljanja izvaja v skladu z opredeljenimi zahtevami za usposobljenost in posameznimi potrebami osebja;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kjer je ustrezno, usposabljanje zagotovi, da osebje lahko opravlja delo pod vsemi obratovalnimi pogoji (normalne, poslabšane in izredne razmere);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sta trajanje usposabljanja in pogostost osveževanja usposobljenosti ustrezna z vidika ciljev usposabljanja;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se evidence hranijo za vso osebje (glej 4.5.3 Nadzor nad dokumentiranimi informacijami);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se program usposabljanja redno pregleduje in presoja (glej 6.2 Notranja presoja) in da se po potrebi opravijo spremembe (glej 5.4 Upravljanje sprememb).</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94368" w:rsidRPr="00AD29B3" w:rsidRDefault="00A00335"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4.2.3</w:t>
            </w:r>
          </w:p>
        </w:tc>
        <w:tc>
          <w:tcPr>
            <w:tcW w:w="3454" w:type="dxa"/>
            <w:shd w:val="clear" w:color="auto" w:fill="auto"/>
            <w:vAlign w:val="center"/>
          </w:tcPr>
          <w:p w:rsidR="00294368" w:rsidRPr="00AD29B3" w:rsidRDefault="00A00335"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Za osebje, ki je bilo udeleženo v nesrečah/incidentih ali je bilo dalj časa odsotno, obstajajo postopki za vrnitev na delo, vključno z dodatnim usposabljanjem, če je potrebno.</w:t>
            </w:r>
          </w:p>
        </w:tc>
        <w:tc>
          <w:tcPr>
            <w:tcW w:w="4287" w:type="dxa"/>
            <w:shd w:val="clear" w:color="auto" w:fill="auto"/>
            <w:vAlign w:val="center"/>
          </w:tcPr>
          <w:p w:rsidR="00294368"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94368" w:rsidRPr="00AD29B3" w:rsidRDefault="00294368"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294368" w:rsidRPr="00E32F6E" w:rsidRDefault="000C0E27"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4.3</w:t>
            </w:r>
          </w:p>
        </w:tc>
        <w:tc>
          <w:tcPr>
            <w:tcW w:w="3454" w:type="dxa"/>
            <w:shd w:val="clear" w:color="auto" w:fill="auto"/>
            <w:vAlign w:val="center"/>
          </w:tcPr>
          <w:p w:rsidR="00294368" w:rsidRPr="00E32F6E" w:rsidRDefault="000C0E27"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Ozaveščenost</w:t>
            </w:r>
          </w:p>
        </w:tc>
        <w:tc>
          <w:tcPr>
            <w:tcW w:w="4287" w:type="dxa"/>
            <w:shd w:val="clear" w:color="auto" w:fill="auto"/>
            <w:vAlign w:val="center"/>
          </w:tcPr>
          <w:p w:rsidR="00294368" w:rsidRPr="00E32F6E" w:rsidRDefault="00294368" w:rsidP="00E32F6E">
            <w:pPr>
              <w:rPr>
                <w:rFonts w:ascii="Times New Roman" w:hAnsi="Times New Roman" w:cs="Times New Roman"/>
                <w:b/>
                <w:color w:val="000000" w:themeColor="text1"/>
              </w:rPr>
            </w:pPr>
          </w:p>
        </w:tc>
        <w:tc>
          <w:tcPr>
            <w:tcW w:w="1134" w:type="dxa"/>
            <w:shd w:val="clear" w:color="auto" w:fill="auto"/>
            <w:vAlign w:val="center"/>
          </w:tcPr>
          <w:p w:rsidR="00294368" w:rsidRPr="00E32F6E" w:rsidRDefault="00294368"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294368" w:rsidRPr="00AD29B3" w:rsidRDefault="000C0E27"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4.3.1</w:t>
            </w:r>
          </w:p>
        </w:tc>
        <w:tc>
          <w:tcPr>
            <w:tcW w:w="3454" w:type="dxa"/>
            <w:shd w:val="clear" w:color="auto" w:fill="auto"/>
            <w:vAlign w:val="center"/>
          </w:tcPr>
          <w:p w:rsidR="00294368" w:rsidRPr="00AD29B3" w:rsidRDefault="000C0E27"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Najvišje vodstvo zagotovi, da se sami in osebje z nalogami, ki vplivajo na varnost, zavedajo relevantnosti, pomembnosti in posledic svojega ravnanja ter prispevanja k pravilni uporabi in uspešnosti sistema upravljanja varnosti, vključno z izpolnjevanjem varnostnih ciljev (glej 3.2 Varnostni cilji in načrtovanje).</w:t>
            </w:r>
          </w:p>
        </w:tc>
        <w:tc>
          <w:tcPr>
            <w:tcW w:w="4287" w:type="dxa"/>
            <w:shd w:val="clear" w:color="auto" w:fill="auto"/>
            <w:vAlign w:val="center"/>
          </w:tcPr>
          <w:p w:rsidR="00294368"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94368" w:rsidRPr="00AD29B3" w:rsidRDefault="00294368"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294368" w:rsidRPr="00E32F6E" w:rsidRDefault="000C0E27"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4.4</w:t>
            </w:r>
          </w:p>
        </w:tc>
        <w:tc>
          <w:tcPr>
            <w:tcW w:w="3454" w:type="dxa"/>
            <w:shd w:val="clear" w:color="auto" w:fill="auto"/>
            <w:vAlign w:val="center"/>
          </w:tcPr>
          <w:p w:rsidR="00294368" w:rsidRPr="00E32F6E" w:rsidRDefault="000C0E27"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Informacijske in komunikacijske dejavnosti</w:t>
            </w:r>
          </w:p>
        </w:tc>
        <w:tc>
          <w:tcPr>
            <w:tcW w:w="4287" w:type="dxa"/>
            <w:shd w:val="clear" w:color="auto" w:fill="auto"/>
            <w:vAlign w:val="center"/>
          </w:tcPr>
          <w:p w:rsidR="00294368" w:rsidRPr="00E32F6E" w:rsidRDefault="00294368" w:rsidP="00E32F6E">
            <w:pPr>
              <w:rPr>
                <w:rFonts w:ascii="Times New Roman" w:hAnsi="Times New Roman" w:cs="Times New Roman"/>
                <w:b/>
                <w:color w:val="000000" w:themeColor="text1"/>
              </w:rPr>
            </w:pPr>
          </w:p>
        </w:tc>
        <w:tc>
          <w:tcPr>
            <w:tcW w:w="1134" w:type="dxa"/>
            <w:shd w:val="clear" w:color="auto" w:fill="auto"/>
            <w:vAlign w:val="center"/>
          </w:tcPr>
          <w:p w:rsidR="00294368" w:rsidRPr="00E32F6E" w:rsidRDefault="00294368"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4.4.1</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opredeli ustrezne komunikacijske kanale za zagotovitev izmenjave, informacij v zvezi z varnostjo med različnimi ravnmi organizacije in z zunanjimi zainteresiranimi stranmi, vključno z izvajalci, partnerji in dobavitelji.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4.4.2</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Da se zagotovi, da informacije v zvezi z varnostjo dosežejo nosilce odločanja, organizacija upravlja z njihovo opredelitvijo, prejemom, obdelavo, ustvarjanjem in širjenjem.</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0C0E27"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4.4.3</w:t>
            </w:r>
          </w:p>
        </w:tc>
        <w:tc>
          <w:tcPr>
            <w:tcW w:w="3454" w:type="dxa"/>
            <w:shd w:val="clear" w:color="auto" w:fill="auto"/>
            <w:vAlign w:val="center"/>
          </w:tcPr>
          <w:p w:rsidR="000C0E27" w:rsidRPr="00AD29B3" w:rsidRDefault="000C0E27"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zagotovi, da so informacije v zvezi z varnostjo:</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relevantne, popolne in razumljive predvidenim uporabnikom;</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veljavne;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pravilne;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dosledne;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nadzorovane (glej 4.5.3 Nadzor nad dokumentiranimi informacijami);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f</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posredovane pravočasno;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g</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prejete in razumljene.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4.5</w:t>
            </w:r>
          </w:p>
        </w:tc>
        <w:tc>
          <w:tcPr>
            <w:tcW w:w="3454"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bCs/>
                <w:color w:val="000000" w:themeColor="text1"/>
                <w:shd w:val="clear" w:color="auto" w:fill="FFFFFF"/>
              </w:rPr>
              <w:t>Dokumentirane informacije</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4.5.1</w:t>
            </w:r>
          </w:p>
        </w:tc>
        <w:tc>
          <w:tcPr>
            <w:tcW w:w="3454"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bCs/>
                <w:color w:val="000000" w:themeColor="text1"/>
                <w:shd w:val="clear" w:color="auto" w:fill="FFFFFF"/>
              </w:rPr>
              <w:t>Dokumentacija o sistemu upravljanja varnosti</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4.5.1.1</w:t>
            </w:r>
          </w:p>
        </w:tc>
        <w:tc>
          <w:tcPr>
            <w:tcW w:w="3454"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Pripravi se opis sistema upravljanja varnosti, ki obsega:</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opredelitev in opis procesov ter dejavnosti v zvezi z varnostjo za obratovanje železnic, vključno z nalogami v zvezi z varnostjo in povezanimi odgovornostmi (glej 2.3 Organizacijske vloge, odgovornosti in pristojnosti);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interakcijo med temi procesi;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postopke ali druge dokumente, ki opisujejo, kako se ti procesi izvajajo;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opredelitev izvajalcev, partnerjev in dobaviteljev z opisom vrste in velikosti dobavljenih storitev;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opredelitev pogodb in drugih poslovnih sporazumov, sklenjenih med organizacijo in drugimi stranmi, opredeljenimi pod točko (d), potrebnih za nadzor nad varnostnimi tveganji organizacije in tveganji, ki izvirajo iz uporabe izvajalcev;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f</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sklic na dokumentirane informacije, ki jih zahteva ta uredba.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4.5.1.2</w:t>
            </w:r>
          </w:p>
        </w:tc>
        <w:tc>
          <w:tcPr>
            <w:tcW w:w="3454"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zagotovi, da se vsako leto pristojnemu nacionalnemu varnostnemu organu (ali organom) predloži letno varnostno poročilo v skladu s členom 9(6) Direktive (EU) 2016/798, vključno s:</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povzetkom odločitev z vidika pomembnosti sprememb, povezanih z varnostjo, vključno s pregledom pomembnih sprememb, in sicer v skladu s členom 18(1) Izvedbene uredbe (EU) št. 402/2013;</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varnostnimi cilji organizacije za naslednja leta in kako resno varnostna tveganja vplivajo na oblikovanje teh varnostnih ciljev;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rezultati notranjih preiskav nesreč/incidentov (glej 7.1 Izsledki iz nesreč in incidentov) in drugih aktivnosti spremljanja (glej 6.1 Spremljanje, 6.2 Notranja presoja in 6.3 Pregled upravljanja), in sicer v skladu s členom 5(1) Uredbe (EU) št. 1078/2012;</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podrobnostmi napredka pri obravnavi neuresničenih priporočil nacionalnih preiskovalnih teles (glej 7.1 Izsledki iz nesreč in incidentov);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varnostnimi kazalniki organizacije, oblikovanimi za oceno uspešnosti organizacije na področju varnosti (glej 6.1 Spremljanje);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f</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kjer je ustrezno, sklepi letnega poročila varnostnega svetovalca, kot je določeno v RID, o dejavnostih organizacije v zvezi s prevozom nevarnega blaga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0C0E27" w:rsidRPr="00E32F6E" w:rsidRDefault="008400F3"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4.5.2</w:t>
            </w:r>
          </w:p>
        </w:tc>
        <w:tc>
          <w:tcPr>
            <w:tcW w:w="3454" w:type="dxa"/>
            <w:shd w:val="clear" w:color="auto" w:fill="auto"/>
            <w:vAlign w:val="center"/>
          </w:tcPr>
          <w:p w:rsidR="000C0E27" w:rsidRPr="00E32F6E" w:rsidRDefault="008400F3"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Ustvarjanje in posodabljanje</w:t>
            </w:r>
          </w:p>
        </w:tc>
        <w:tc>
          <w:tcPr>
            <w:tcW w:w="4287" w:type="dxa"/>
            <w:shd w:val="clear" w:color="auto" w:fill="auto"/>
            <w:vAlign w:val="center"/>
          </w:tcPr>
          <w:p w:rsidR="000C0E27" w:rsidRPr="00E32F6E" w:rsidRDefault="000C0E27" w:rsidP="00E32F6E">
            <w:pPr>
              <w:rPr>
                <w:rFonts w:ascii="Times New Roman" w:hAnsi="Times New Roman" w:cs="Times New Roman"/>
                <w:b/>
                <w:color w:val="000000" w:themeColor="text1"/>
              </w:rPr>
            </w:pPr>
          </w:p>
        </w:tc>
        <w:tc>
          <w:tcPr>
            <w:tcW w:w="1134" w:type="dxa"/>
            <w:shd w:val="clear" w:color="auto" w:fill="auto"/>
            <w:vAlign w:val="center"/>
          </w:tcPr>
          <w:p w:rsidR="000C0E27" w:rsidRPr="00E32F6E" w:rsidRDefault="000C0E27"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4.5.2.1</w:t>
            </w:r>
          </w:p>
        </w:tc>
        <w:tc>
          <w:tcPr>
            <w:tcW w:w="3454" w:type="dxa"/>
            <w:shd w:val="clear" w:color="auto" w:fill="auto"/>
            <w:vAlign w:val="center"/>
          </w:tcPr>
          <w:p w:rsidR="000C0E27" w:rsidRPr="00AD29B3" w:rsidRDefault="008400F3"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zagotovi, da se pri ustvarjanju in posodabljanju dokumentiranih informacij v zvezi s sistemom upravljanja varnosti uporabljajo ustrezni formati in nosilci podatkov.</w:t>
            </w:r>
          </w:p>
        </w:tc>
        <w:tc>
          <w:tcPr>
            <w:tcW w:w="4287" w:type="dxa"/>
            <w:shd w:val="clear" w:color="auto" w:fill="auto"/>
            <w:vAlign w:val="center"/>
          </w:tcPr>
          <w:p w:rsidR="000C0E27"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0C0E27" w:rsidRPr="00E32F6E" w:rsidRDefault="00D144E4"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4.5.3</w:t>
            </w:r>
          </w:p>
        </w:tc>
        <w:tc>
          <w:tcPr>
            <w:tcW w:w="3454" w:type="dxa"/>
            <w:shd w:val="clear" w:color="auto" w:fill="auto"/>
            <w:vAlign w:val="center"/>
          </w:tcPr>
          <w:p w:rsidR="000C0E27" w:rsidRPr="00E32F6E" w:rsidRDefault="00D144E4"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Nadzor nad dokumentiranimi informacijami</w:t>
            </w:r>
          </w:p>
        </w:tc>
        <w:tc>
          <w:tcPr>
            <w:tcW w:w="4287" w:type="dxa"/>
            <w:shd w:val="clear" w:color="auto" w:fill="auto"/>
            <w:vAlign w:val="center"/>
          </w:tcPr>
          <w:p w:rsidR="000C0E27" w:rsidRPr="00E32F6E" w:rsidRDefault="000C0E27" w:rsidP="00E32F6E">
            <w:pPr>
              <w:rPr>
                <w:rFonts w:ascii="Times New Roman" w:hAnsi="Times New Roman" w:cs="Times New Roman"/>
                <w:b/>
                <w:color w:val="000000" w:themeColor="text1"/>
              </w:rPr>
            </w:pPr>
          </w:p>
        </w:tc>
        <w:tc>
          <w:tcPr>
            <w:tcW w:w="1134" w:type="dxa"/>
            <w:shd w:val="clear" w:color="auto" w:fill="auto"/>
            <w:vAlign w:val="center"/>
          </w:tcPr>
          <w:p w:rsidR="000C0E27" w:rsidRPr="00E32F6E" w:rsidRDefault="000C0E27"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0C0E27" w:rsidRPr="00AD29B3" w:rsidRDefault="00D144E4"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4.5.3.1</w:t>
            </w:r>
          </w:p>
        </w:tc>
        <w:tc>
          <w:tcPr>
            <w:tcW w:w="3454" w:type="dxa"/>
            <w:shd w:val="clear" w:color="auto" w:fill="auto"/>
            <w:vAlign w:val="center"/>
          </w:tcPr>
          <w:p w:rsidR="000C0E27" w:rsidRPr="00AD29B3" w:rsidRDefault="00D144E4"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nadzira dokumentirane informacije v zvezi s sistemom upravljanja varnosti, zlasti njihovo shranjevanje, razširjanje in nadzor nad spremembami, da se po potrebi zagotovi njihova razpoložljivost, primernost in zaščita.</w:t>
            </w:r>
          </w:p>
        </w:tc>
        <w:tc>
          <w:tcPr>
            <w:tcW w:w="4287" w:type="dxa"/>
            <w:shd w:val="clear" w:color="auto" w:fill="auto"/>
            <w:vAlign w:val="center"/>
          </w:tcPr>
          <w:p w:rsidR="000C0E27"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0C0E27" w:rsidRPr="00E32F6E" w:rsidRDefault="00D144E4"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4.6.</w:t>
            </w:r>
          </w:p>
        </w:tc>
        <w:tc>
          <w:tcPr>
            <w:tcW w:w="3454" w:type="dxa"/>
            <w:shd w:val="clear" w:color="auto" w:fill="auto"/>
            <w:vAlign w:val="center"/>
          </w:tcPr>
          <w:p w:rsidR="000C0E27" w:rsidRPr="00E32F6E" w:rsidRDefault="00D144E4"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Integracija človeških in organizacijskih dejavnikov</w:t>
            </w:r>
          </w:p>
        </w:tc>
        <w:tc>
          <w:tcPr>
            <w:tcW w:w="4287" w:type="dxa"/>
            <w:shd w:val="clear" w:color="auto" w:fill="auto"/>
            <w:vAlign w:val="center"/>
          </w:tcPr>
          <w:p w:rsidR="000C0E27" w:rsidRPr="00E32F6E" w:rsidRDefault="000C0E27" w:rsidP="00E32F6E">
            <w:pPr>
              <w:rPr>
                <w:rFonts w:ascii="Times New Roman" w:hAnsi="Times New Roman" w:cs="Times New Roman"/>
                <w:b/>
                <w:color w:val="000000" w:themeColor="text1"/>
              </w:rPr>
            </w:pPr>
          </w:p>
        </w:tc>
        <w:tc>
          <w:tcPr>
            <w:tcW w:w="1134" w:type="dxa"/>
            <w:shd w:val="clear" w:color="auto" w:fill="auto"/>
            <w:vAlign w:val="center"/>
          </w:tcPr>
          <w:p w:rsidR="000C0E27" w:rsidRPr="00E32F6E" w:rsidRDefault="000C0E27"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0C0E27" w:rsidRPr="00AD29B3" w:rsidRDefault="00D144E4"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4.6.1</w:t>
            </w:r>
          </w:p>
        </w:tc>
        <w:tc>
          <w:tcPr>
            <w:tcW w:w="3454" w:type="dxa"/>
            <w:shd w:val="clear" w:color="auto" w:fill="auto"/>
            <w:vAlign w:val="center"/>
          </w:tcPr>
          <w:p w:rsidR="000C0E27" w:rsidRPr="00AD29B3" w:rsidRDefault="005F711F"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izkaže sistematičen pristop k integraciji človeških in organizacijskih dejavnikov v sistemu upravljanja varnosti. Ta pristop:</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vključuje razvoj strategije ter uporabo strokovnega znanja in priznanih metod s področja človeških in organizacijskih dejavnikov;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obravnava tveganja, povezana z zasnovo in uporabo opreme, nalog, delovnih pogojev in organizacijskih ureditev, ob upoštevanju človeških zmogljivosti in omejitev ter vplivov na učinkovitost ljudi.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D9D9D9" w:themeFill="background1" w:themeFillShade="D9"/>
            <w:vAlign w:val="center"/>
          </w:tcPr>
          <w:p w:rsidR="000C0E27" w:rsidRPr="00E32F6E" w:rsidRDefault="005F711F"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5.</w:t>
            </w:r>
          </w:p>
        </w:tc>
        <w:tc>
          <w:tcPr>
            <w:tcW w:w="3454" w:type="dxa"/>
            <w:shd w:val="clear" w:color="auto" w:fill="D9D9D9" w:themeFill="background1" w:themeFillShade="D9"/>
            <w:vAlign w:val="center"/>
          </w:tcPr>
          <w:p w:rsidR="000C0E27" w:rsidRPr="00E32F6E" w:rsidRDefault="005F711F"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OBRATOVANJE</w:t>
            </w:r>
          </w:p>
        </w:tc>
        <w:tc>
          <w:tcPr>
            <w:tcW w:w="4287" w:type="dxa"/>
            <w:shd w:val="clear" w:color="auto" w:fill="D9D9D9" w:themeFill="background1" w:themeFillShade="D9"/>
            <w:vAlign w:val="center"/>
          </w:tcPr>
          <w:p w:rsidR="000C0E27" w:rsidRPr="00E32F6E" w:rsidRDefault="000C0E27" w:rsidP="00E32F6E">
            <w:pPr>
              <w:rPr>
                <w:rFonts w:ascii="Times New Roman" w:hAnsi="Times New Roman" w:cs="Times New Roman"/>
                <w:b/>
                <w:color w:val="000000" w:themeColor="text1"/>
              </w:rPr>
            </w:pPr>
          </w:p>
        </w:tc>
        <w:tc>
          <w:tcPr>
            <w:tcW w:w="1134" w:type="dxa"/>
            <w:shd w:val="clear" w:color="auto" w:fill="D9D9D9" w:themeFill="background1" w:themeFillShade="D9"/>
            <w:vAlign w:val="center"/>
          </w:tcPr>
          <w:p w:rsidR="000C0E27" w:rsidRPr="00E32F6E" w:rsidRDefault="000C0E27" w:rsidP="00E32F6E">
            <w:pPr>
              <w:rPr>
                <w:rFonts w:ascii="Times New Roman" w:hAnsi="Times New Roman" w:cs="Times New Roman"/>
                <w:b/>
                <w:color w:val="000000" w:themeColor="text1"/>
              </w:rPr>
            </w:pPr>
          </w:p>
        </w:tc>
      </w:tr>
      <w:tr w:rsidR="00E32F6E" w:rsidRPr="00E32F6E" w:rsidTr="0054676E">
        <w:trPr>
          <w:cantSplit/>
        </w:trPr>
        <w:tc>
          <w:tcPr>
            <w:tcW w:w="792" w:type="dxa"/>
            <w:shd w:val="clear" w:color="auto" w:fill="auto"/>
            <w:vAlign w:val="center"/>
          </w:tcPr>
          <w:p w:rsidR="000C0E27" w:rsidRPr="00E32F6E" w:rsidRDefault="005F711F"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5.1</w:t>
            </w:r>
          </w:p>
        </w:tc>
        <w:tc>
          <w:tcPr>
            <w:tcW w:w="3454" w:type="dxa"/>
            <w:shd w:val="clear" w:color="auto" w:fill="auto"/>
            <w:vAlign w:val="center"/>
          </w:tcPr>
          <w:p w:rsidR="000C0E27" w:rsidRPr="00E32F6E" w:rsidRDefault="005F711F"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Načrtovanje in nadzor obratovanja</w:t>
            </w:r>
          </w:p>
        </w:tc>
        <w:tc>
          <w:tcPr>
            <w:tcW w:w="4287" w:type="dxa"/>
            <w:shd w:val="clear" w:color="auto" w:fill="auto"/>
            <w:vAlign w:val="center"/>
          </w:tcPr>
          <w:p w:rsidR="000C0E27" w:rsidRPr="00E32F6E" w:rsidRDefault="000C0E27" w:rsidP="00E32F6E">
            <w:pPr>
              <w:rPr>
                <w:rFonts w:ascii="Times New Roman" w:hAnsi="Times New Roman" w:cs="Times New Roman"/>
                <w:b/>
                <w:color w:val="000000" w:themeColor="text1"/>
              </w:rPr>
            </w:pPr>
          </w:p>
        </w:tc>
        <w:tc>
          <w:tcPr>
            <w:tcW w:w="1134" w:type="dxa"/>
            <w:shd w:val="clear" w:color="auto" w:fill="auto"/>
            <w:vAlign w:val="center"/>
          </w:tcPr>
          <w:p w:rsidR="000C0E27" w:rsidRPr="00E32F6E" w:rsidRDefault="000C0E27"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0C0E27" w:rsidRPr="00AD29B3" w:rsidRDefault="005F711F"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5.1.1</w:t>
            </w:r>
          </w:p>
        </w:tc>
        <w:tc>
          <w:tcPr>
            <w:tcW w:w="3454" w:type="dxa"/>
            <w:shd w:val="clear" w:color="auto" w:fill="auto"/>
            <w:vAlign w:val="center"/>
          </w:tcPr>
          <w:p w:rsidR="000C0E27" w:rsidRPr="00AD29B3" w:rsidRDefault="005F711F"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Pri načrtovanju, razvoju, izvajanju in reviziji operativnih postopkov organizacija zagotovi, da se med obratovanjem:</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uporabljajo merila za sprejemljivost tveganja (glej 3.1.1 Ocena tveganj);</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pripravijo načrti za dosego varnostnih ciljev (glej 3.2 Varnostni cilji in načrtovanje);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5F711F"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0C0E27" w:rsidRPr="00AD29B3" w:rsidRDefault="005F711F"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zberejo informacije za merjenje pravilne uporabe in uspešnosti operativnih ukrepov (glej 6.1 Spremljanje).</w:t>
            </w:r>
          </w:p>
        </w:tc>
        <w:tc>
          <w:tcPr>
            <w:tcW w:w="4287" w:type="dxa"/>
            <w:shd w:val="clear" w:color="auto" w:fill="auto"/>
            <w:vAlign w:val="center"/>
          </w:tcPr>
          <w:p w:rsidR="000C0E27"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5.1.2</w:t>
            </w:r>
          </w:p>
        </w:tc>
        <w:tc>
          <w:tcPr>
            <w:tcW w:w="3454"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zagotovi, da operativni ukrepi ustrezajo zahtevam v zvezi z varnostjo veljavnih tehničnih specifikacij za interoperabilnost in zadevnih nacionalnih pravil ter drugih zadevnih zahtev (glej 1. Ozadje organizacije).</w:t>
            </w:r>
          </w:p>
        </w:tc>
        <w:tc>
          <w:tcPr>
            <w:tcW w:w="4287" w:type="dxa"/>
            <w:shd w:val="clear" w:color="auto" w:fill="auto"/>
            <w:vAlign w:val="center"/>
          </w:tcPr>
          <w:p w:rsidR="000C0E27"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5.1.3</w:t>
            </w:r>
          </w:p>
        </w:tc>
        <w:tc>
          <w:tcPr>
            <w:tcW w:w="3454"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Za nadzor nad tveganji, kjer je to pomembno za varnost obratovalnih aktivnosti (glej 3.1.1 Ocena tveganj), se upošteva vsaj:</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opredelitev omejitev za varen prevoz za načrtovanje prometa ter nadzor na osnovi značilnosti infrastrukture;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načrtovanje prometa, vključno z voznim redom in dodeljevanjem vlakovnih poti;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upravljanje prometa v realnem času v načinu normalnega obratovanja in v načinu poslabšanega obratovanja z uporabo omejitev prometa in upravljanjem prometnih motenj;</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določitev pogojev za izredne pošiljke;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5.1.4</w:t>
            </w:r>
          </w:p>
        </w:tc>
        <w:tc>
          <w:tcPr>
            <w:tcW w:w="3454"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za nadzor nad dodeljenimi odgovornostmi, kjer je to pomembno za varnost obratovalnih aktivnosti, opredeli odgovornosti za načrtovanje in obratovanje železniškega omrežja ter kako so te zadevne naloge, dodeljene ustreznemu osebju v organizaciji (glej 2.3 Organizacijske vloge, odgovornosti in pristojnosti) in drugim zunanjim kvalificiranim stranem, ko je primerno (glej 5.3 Izvajalci, partnerji in dobavitelji).</w:t>
            </w:r>
          </w:p>
        </w:tc>
        <w:tc>
          <w:tcPr>
            <w:tcW w:w="4287" w:type="dxa"/>
            <w:shd w:val="clear" w:color="auto" w:fill="auto"/>
            <w:vAlign w:val="center"/>
          </w:tcPr>
          <w:p w:rsidR="000C0E27"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5.1.5</w:t>
            </w:r>
          </w:p>
        </w:tc>
        <w:tc>
          <w:tcPr>
            <w:tcW w:w="3454"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Za nadzor nad informacijami in komunikacijo, kjer je to pomembno za varnost obratovalnih aktivnosti (glej 4.4 Informacijske in komunikacijske dejavnosti), se zadevno osebje (npr. prometnike) pouči o posebnih zahtevah za usmerjanje vlakov in prestavitev vozil, vključno z zadevnimi spremembami, ki lahko povzročijo tveganje ali začasne ali trajne obratovalne omejitve (npr. zaradi vzdrževanja prog), in pogoji za izredne pošiljke, kjer je to primerno.</w:t>
            </w:r>
          </w:p>
        </w:tc>
        <w:tc>
          <w:tcPr>
            <w:tcW w:w="4287" w:type="dxa"/>
            <w:shd w:val="clear" w:color="auto" w:fill="auto"/>
            <w:vAlign w:val="center"/>
          </w:tcPr>
          <w:p w:rsidR="000C0E27"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5.1.6</w:t>
            </w:r>
          </w:p>
        </w:tc>
        <w:tc>
          <w:tcPr>
            <w:tcW w:w="3454"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Za nadzor nad usposobljenostjo, kjer je to pomembno za varnost obratovalnih aktivnosti (glej 4.2 Usposobljenost), organizacija za svoje osebje v skladu z veljavno zakonodajo (glej 1. Ozadje organizacije) zagotovi:</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skladnost z njihovim usposabljanjem in navodili za delo ter da se po potrebi sprejmejo korektivni ukrepi;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posebno usposabljanje v primeru predvidenih sprememb, ki vplivajo na obratovanje ali njihovo dodelitev nalog;</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0C0E27" w:rsidRPr="00AD29B3" w:rsidRDefault="004E58A6"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sprejetje ustreznih ukrepov po nesrečah in incidentih.</w:t>
            </w:r>
          </w:p>
        </w:tc>
        <w:tc>
          <w:tcPr>
            <w:tcW w:w="4287" w:type="dxa"/>
            <w:shd w:val="clear" w:color="auto" w:fill="auto"/>
            <w:vAlign w:val="center"/>
          </w:tcPr>
          <w:p w:rsidR="000C0E27"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4E58A6" w:rsidRPr="00E32F6E" w:rsidRDefault="00BA392C"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5.2</w:t>
            </w:r>
          </w:p>
        </w:tc>
        <w:tc>
          <w:tcPr>
            <w:tcW w:w="3454" w:type="dxa"/>
            <w:shd w:val="clear" w:color="auto" w:fill="auto"/>
            <w:vAlign w:val="center"/>
          </w:tcPr>
          <w:p w:rsidR="004E58A6" w:rsidRPr="00E32F6E" w:rsidRDefault="00BA392C"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Upravljanje sredstev</w:t>
            </w:r>
          </w:p>
        </w:tc>
        <w:tc>
          <w:tcPr>
            <w:tcW w:w="4287"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c>
          <w:tcPr>
            <w:tcW w:w="1134"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5.2.1</w:t>
            </w:r>
          </w:p>
        </w:tc>
        <w:tc>
          <w:tcPr>
            <w:tcW w:w="3454"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upravlja z varnostnimi tveganji, povezanimi s fizičnimi sredstvi, in sicer skozi njihov celotni življenjski cikel (glej 3.1.1 Ocena tveganj), od zasnove do odstranitve, ter v vseh fazah cikla izpolnjuje zahteve v zvezi s človeškim dejavnikom.</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5.2.2</w:t>
            </w:r>
          </w:p>
        </w:tc>
        <w:tc>
          <w:tcPr>
            <w:tcW w:w="3454"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w:t>
            </w:r>
          </w:p>
        </w:tc>
        <w:tc>
          <w:tcPr>
            <w:tcW w:w="4287" w:type="dxa"/>
            <w:shd w:val="clear" w:color="auto" w:fill="auto"/>
            <w:vAlign w:val="center"/>
          </w:tcPr>
          <w:p w:rsidR="004E58A6" w:rsidRPr="00AD29B3" w:rsidRDefault="004E58A6" w:rsidP="00AD29B3">
            <w:pPr>
              <w:rPr>
                <w:rFonts w:ascii="Times New Roman" w:hAnsi="Times New Roman" w:cs="Times New Roman"/>
                <w:color w:val="000000" w:themeColor="text1"/>
              </w:rPr>
            </w:pP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zagotovi, da se sredstva uporabljajo za predvideni namen, hkrati pa se ohranja njihovo varno obratovalno stanje in njihova pričakovana stopnja učinkovitosti;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upravlja s sredstvi pri normalnem in poslabšanem obratovanju;</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tako hitro kot je razumno izvedljivo odkrije primere neskladnosti z obratovalnimi zahtevami pred in med obratovanjem sredstev, vključno z izvedbo omejitev uporabe, kot je ustrezno za zagotovitev varnega obratovalnega stanja sredstev (glej 6.1 Spremljanje).</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5.2.3</w:t>
            </w:r>
          </w:p>
        </w:tc>
        <w:tc>
          <w:tcPr>
            <w:tcW w:w="3454"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zagotovi, da so postopki upravljanja sredstev skladni, kjer je ustrezno, z vsemi bistvenimi zahtevami, kot so določene v zadevnih tehničnih specifikacijah za interoperabilnost in drugih zadevnih zahtevah (glej 1. Organizacijska zasnova).</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5.2.4</w:t>
            </w:r>
          </w:p>
        </w:tc>
        <w:tc>
          <w:tcPr>
            <w:tcW w:w="3454"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Za nadzor nad tveganji, kjer je to pomembno za opravljanje storitev vzdrževanja (glej 3.1.1 Ocena tveganj), se upošteva vsaj:</w:t>
            </w:r>
          </w:p>
        </w:tc>
        <w:tc>
          <w:tcPr>
            <w:tcW w:w="4287" w:type="dxa"/>
            <w:shd w:val="clear" w:color="auto" w:fill="auto"/>
            <w:vAlign w:val="center"/>
          </w:tcPr>
          <w:p w:rsidR="004E58A6" w:rsidRPr="00AD29B3" w:rsidRDefault="004E58A6" w:rsidP="00AD29B3">
            <w:pPr>
              <w:rPr>
                <w:rFonts w:ascii="Times New Roman" w:hAnsi="Times New Roman" w:cs="Times New Roman"/>
                <w:color w:val="000000" w:themeColor="text1"/>
              </w:rPr>
            </w:pP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ugotovitev potreb po vzdrževanju za ohranitev infrastrukture v varnem obratovalnem stanju, in sicer na osnovi načrtovane ter dejanske uporabe infrastrukture in njenih značilnosti, ki izhajajo iz zasnove;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upravljanje z odstranitvijo sredstva iz obratovanja zaradi vzdrževanja v primeru odkrite napake ali iztrošenosti sredstva v obsegu ki ne omogoča varnega obratovanja, kot je navedeno v točki (a);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upravljanje z vrnitvijo sredstva v obratovanje z morebitnimi omejitvami pri uporabi, potem, ko je bilo opravljeno vzdrževanje za varno obratovalno stanje;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upravljanje z opremo za spremljanje in merjenje tako, da se zagotovi njena primernosti za predvideno uporabo.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5.2.5</w:t>
            </w:r>
          </w:p>
        </w:tc>
        <w:tc>
          <w:tcPr>
            <w:tcW w:w="3454"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Za nadzor nad informacijami in komunikacijo, kjer je to pomembno za varno upravljanje sredstev (glej 4.4 Informacijske in komunikacijske dejavnosti), organizacija upošteva vsaj:</w:t>
            </w:r>
          </w:p>
        </w:tc>
        <w:tc>
          <w:tcPr>
            <w:tcW w:w="4287" w:type="dxa"/>
            <w:shd w:val="clear" w:color="auto" w:fill="auto"/>
            <w:vAlign w:val="center"/>
          </w:tcPr>
          <w:p w:rsidR="004E58A6" w:rsidRPr="00AD29B3" w:rsidRDefault="004E58A6" w:rsidP="00AD29B3">
            <w:pPr>
              <w:rPr>
                <w:rFonts w:ascii="Times New Roman" w:hAnsi="Times New Roman" w:cs="Times New Roman"/>
                <w:color w:val="000000" w:themeColor="text1"/>
              </w:rPr>
            </w:pP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izmenjavo ustreznih informacij znotraj organizacije ali z zunanjimi subjekti, zadolženimi za vzdrževanje (glej 5.3 Izvajalci, partnerji in dobavitelji), zlasti napake povezane z varnostjo, nesreče, incidente kot tudi morebitne omejitve pri uporabi sredstev;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sledljivost vseh potrebnih informacij, vključno z informacijami v zvezi s točko (a) (glej 4.4 Informacijske in komunikacijske dejavnosti ter 4.5.3. Nadzor nad dokumentiranimi informacijami);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vzpostavitev in vzdrževanje evidenc, vključno z upravljanjem sprememb, ki vplivajo na varnost sredstev (glej 5.4 Upravljanje sprememb).</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4E58A6" w:rsidRPr="00E32F6E" w:rsidRDefault="00BA392C"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5.3</w:t>
            </w:r>
          </w:p>
        </w:tc>
        <w:tc>
          <w:tcPr>
            <w:tcW w:w="3454" w:type="dxa"/>
            <w:shd w:val="clear" w:color="auto" w:fill="auto"/>
            <w:vAlign w:val="center"/>
          </w:tcPr>
          <w:p w:rsidR="004E58A6" w:rsidRPr="00E32F6E" w:rsidRDefault="00BA392C"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Izvajalci, partnerji in dobavitelji</w:t>
            </w:r>
          </w:p>
        </w:tc>
        <w:tc>
          <w:tcPr>
            <w:tcW w:w="4287"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c>
          <w:tcPr>
            <w:tcW w:w="1134"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5.3.1</w:t>
            </w:r>
          </w:p>
        </w:tc>
        <w:tc>
          <w:tcPr>
            <w:tcW w:w="3454" w:type="dxa"/>
            <w:shd w:val="clear" w:color="auto" w:fill="auto"/>
            <w:vAlign w:val="center"/>
          </w:tcPr>
          <w:p w:rsidR="004E58A6" w:rsidRPr="00AD29B3" w:rsidRDefault="009800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opredeli in nadzira varnostna tveganja, ki izvirajo iz dejavnosti, oddanih v zunanje izvajanje, vključno z obratovanjem ali sodelovanjem z izvajalci, partnerji in dobavitelji.</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BA392C"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5.3.2</w:t>
            </w:r>
          </w:p>
        </w:tc>
        <w:tc>
          <w:tcPr>
            <w:tcW w:w="3454" w:type="dxa"/>
            <w:shd w:val="clear" w:color="auto" w:fill="auto"/>
            <w:vAlign w:val="center"/>
          </w:tcPr>
          <w:p w:rsidR="004E58A6" w:rsidRPr="00AD29B3" w:rsidRDefault="009800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Za nadzor nad varnostnimi tveganji iz odstavka 5.3.1 organizacija opredeli merila za izbor izvajalcev, partnerjev in dobaviteljev ter pogodbene zahteve, ki jih morajo izpolniti, vključno s:</w:t>
            </w:r>
          </w:p>
        </w:tc>
        <w:tc>
          <w:tcPr>
            <w:tcW w:w="4287" w:type="dxa"/>
            <w:shd w:val="clear" w:color="auto" w:fill="auto"/>
            <w:vAlign w:val="center"/>
          </w:tcPr>
          <w:p w:rsidR="004E58A6" w:rsidRPr="00AD29B3" w:rsidRDefault="004E58A6" w:rsidP="00AD29B3">
            <w:pPr>
              <w:rPr>
                <w:rFonts w:ascii="Times New Roman" w:hAnsi="Times New Roman" w:cs="Times New Roman"/>
                <w:color w:val="000000" w:themeColor="text1"/>
              </w:rPr>
            </w:pP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pravnimi in drugimi zahtevami, povezanimi z varnostjo (glej 1. Organizacijska zasnova);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ravnjo usposobljenosti, potrebne za izvajanje nalog iz pogodbe (glej 4.2 Usposobljenost);</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odgovornostmi za naloge, ki jih je treba opraviti;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pričakovano uspešnostjo na področju varnosti, ki jo je treba vzdrževati med trajanjem pogodbe;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obveznostmi glede izmenjave informacij, povezanih z varnostjo (glej 4.4 Informacijske in komunikacijske dejavnosti);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f</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sledljivostjo dokumentov v zvezi z varnostjo (glej 4.5 Dokumentirane informacije).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5.3.3</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V skladu s postopkom iz člena 3 Uredbe (EU) št. 1078/2012 organizacija spremlja:</w:t>
            </w:r>
          </w:p>
        </w:tc>
        <w:tc>
          <w:tcPr>
            <w:tcW w:w="4287" w:type="dxa"/>
            <w:shd w:val="clear" w:color="auto" w:fill="auto"/>
            <w:vAlign w:val="center"/>
          </w:tcPr>
          <w:p w:rsidR="004E58A6" w:rsidRPr="00AD29B3" w:rsidRDefault="004E58A6" w:rsidP="00AD29B3">
            <w:pPr>
              <w:rPr>
                <w:rFonts w:ascii="Times New Roman" w:hAnsi="Times New Roman" w:cs="Times New Roman"/>
                <w:color w:val="000000" w:themeColor="text1"/>
              </w:rPr>
            </w:pP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uspešnost na področju varnosti za vse aktivnosti in dejavnosti izvajalcev, partnerjev in dobaviteljev, za zagotovitev izpolnjevanja pogodbenih zahtev;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ozaveščenost izvajalcev, partnerjev in dobaviteljev o varnostnih tveganjih, ki jih prinašajo v obratovanje organizacije.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4E58A6" w:rsidRPr="00E32F6E" w:rsidRDefault="0014324A"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5.4</w:t>
            </w:r>
          </w:p>
        </w:tc>
        <w:tc>
          <w:tcPr>
            <w:tcW w:w="3454" w:type="dxa"/>
            <w:shd w:val="clear" w:color="auto" w:fill="auto"/>
            <w:vAlign w:val="center"/>
          </w:tcPr>
          <w:p w:rsidR="004E58A6" w:rsidRPr="00E32F6E" w:rsidRDefault="0014324A"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Upravljanje sprememb</w:t>
            </w:r>
          </w:p>
        </w:tc>
        <w:tc>
          <w:tcPr>
            <w:tcW w:w="4287"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c>
          <w:tcPr>
            <w:tcW w:w="1134"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5.4.1</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izvaja in nadzoruje spremembe sistema upravljanja varnosti, da vzdržuje ali izboljša uspešnost na področju varnosti. To vključuje odločitve na različnih ravneh upravljanja sprememb in nadaljnjega pregleda varnostnih tveganj (glej 3.1.1 Ocena tveganj).</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4E58A6" w:rsidRPr="00E32F6E" w:rsidRDefault="0014324A"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5.5</w:t>
            </w:r>
          </w:p>
        </w:tc>
        <w:tc>
          <w:tcPr>
            <w:tcW w:w="3454" w:type="dxa"/>
            <w:shd w:val="clear" w:color="auto" w:fill="auto"/>
            <w:vAlign w:val="center"/>
          </w:tcPr>
          <w:p w:rsidR="004E58A6" w:rsidRPr="00E32F6E" w:rsidRDefault="0014324A"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Ravnanje v izrednih razmerah</w:t>
            </w:r>
          </w:p>
        </w:tc>
        <w:tc>
          <w:tcPr>
            <w:tcW w:w="4287"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c>
          <w:tcPr>
            <w:tcW w:w="1134"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5.5.1</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opredeli izredne razmere in povezane pravočasne ukrepe, ki jih je treba sprejeti za ustrezno ravnanje (glej 3.1.1 Ocena tveganj) in ponovno vzpostavitev običajnih obratovalnih pogojev v skladu z Uredbo (EU) 2015/995.</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5.5.2</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za vsako vrsto izrednih razmer zagotovi, da:</w:t>
            </w:r>
          </w:p>
        </w:tc>
        <w:tc>
          <w:tcPr>
            <w:tcW w:w="4287" w:type="dxa"/>
            <w:shd w:val="clear" w:color="auto" w:fill="auto"/>
            <w:vAlign w:val="center"/>
          </w:tcPr>
          <w:p w:rsidR="004E58A6" w:rsidRPr="00AD29B3" w:rsidRDefault="004E58A6" w:rsidP="00AD29B3">
            <w:pPr>
              <w:rPr>
                <w:rFonts w:ascii="Times New Roman" w:hAnsi="Times New Roman" w:cs="Times New Roman"/>
                <w:color w:val="000000" w:themeColor="text1"/>
              </w:rPr>
            </w:pP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se hitro obvesti službe za ukrepanje v izrednih razmerah;</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imajo službe za ukrepanje v izrednih razmerah vnaprej in v času izrednih razmer na voljo vse ustrezne informacije za pripravo na odziv;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se interno zagotovi prva pomoč.</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5.5.3</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opredeli in dokumentira vloge ter odgovornosti vseh strani v skladu z Uredbo (EU) 2015/995.</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5.5.4</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ima načrte za ukrepanje, opozorila in informacije v primeru izrednih razmer, vključno s postopki za:</w:t>
            </w:r>
          </w:p>
        </w:tc>
        <w:tc>
          <w:tcPr>
            <w:tcW w:w="4287" w:type="dxa"/>
            <w:shd w:val="clear" w:color="auto" w:fill="auto"/>
            <w:vAlign w:val="center"/>
          </w:tcPr>
          <w:p w:rsidR="004E58A6" w:rsidRPr="00AD29B3" w:rsidRDefault="004E58A6" w:rsidP="00AD29B3">
            <w:pPr>
              <w:rPr>
                <w:rFonts w:ascii="Times New Roman" w:hAnsi="Times New Roman" w:cs="Times New Roman"/>
                <w:color w:val="000000" w:themeColor="text1"/>
              </w:rPr>
            </w:pP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opozarjanje vsega osebja, odgovornega za ravnanje v izrednih razmerah;</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posredovanje informacij vsem stranem (npr. prevoznikom v železniškem prometu, izvajalcem, uradnim organom, službam za ukrepanje v izrednih razmerah), vključno z informacijami za ravnanje v izrednih razmerah za potnike;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sprejem vseh potrebnih odločitev v skladu z vrsto izrednih razmer.</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5.5.5</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opiše, kako so bili dodeljeni viri in sredstva za ravnanje v izrednih razmerah (glej 4.1 Viri) ter kako so bile opredeljene zahteve za usposabljanje (glej 4.2 Usposobljenost).</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5.5.6</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Postopki za ravnanje v izrednih razmerah se redno preskušajo v sodelovanju z drugimi zainteresiranimi stranmi in po potrebi posodobijo.</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5.5.7</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uskladi načrte za ukrepanje v izrednih razmerah z vsemi prevozniki v železniškem prometu, ki obratujejo na infrastrukturi organizacije, službami za ukrepanje v izrednih razmerah, za olajšanje njihovega hitrega posredovanja, in vsemi ostalimi subjekti, ki bi lahko bili udeleženi v izrednih razmerah.</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5.5.8</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V organizaciji obstajajo postopki za hitro zaustavitev obratovanja in železniškega prometa, če je potrebno, in obveščanje vseh zainteresiranih strani o sprejetih ukrepih.</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5.5.9</w:t>
            </w:r>
          </w:p>
        </w:tc>
        <w:tc>
          <w:tcPr>
            <w:tcW w:w="3454" w:type="dxa"/>
            <w:shd w:val="clear" w:color="auto" w:fill="auto"/>
            <w:vAlign w:val="center"/>
          </w:tcPr>
          <w:p w:rsidR="004E58A6" w:rsidRPr="00AD29B3" w:rsidRDefault="0014324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V primeru čezmejne infrastrukture pristojni upravljavci infrastrukture usklajujejo pripravljenost pristojnih služb za ukrepanje v izrednih razmerah na obeh straneh meje.</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D9D9D9" w:themeFill="background1" w:themeFillShade="D9"/>
            <w:vAlign w:val="center"/>
          </w:tcPr>
          <w:p w:rsidR="004E58A6" w:rsidRPr="00E32F6E" w:rsidRDefault="0014324A"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6.</w:t>
            </w:r>
          </w:p>
        </w:tc>
        <w:tc>
          <w:tcPr>
            <w:tcW w:w="3454" w:type="dxa"/>
            <w:shd w:val="clear" w:color="auto" w:fill="D9D9D9" w:themeFill="background1" w:themeFillShade="D9"/>
            <w:vAlign w:val="center"/>
          </w:tcPr>
          <w:p w:rsidR="004E58A6" w:rsidRPr="00E32F6E" w:rsidRDefault="0014324A"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OCENA USPEŠNOSTI</w:t>
            </w:r>
          </w:p>
        </w:tc>
        <w:tc>
          <w:tcPr>
            <w:tcW w:w="4287" w:type="dxa"/>
            <w:shd w:val="clear" w:color="auto" w:fill="D9D9D9" w:themeFill="background1" w:themeFillShade="D9"/>
            <w:vAlign w:val="center"/>
          </w:tcPr>
          <w:p w:rsidR="004E58A6" w:rsidRPr="00E32F6E" w:rsidRDefault="004E58A6" w:rsidP="00E32F6E">
            <w:pPr>
              <w:rPr>
                <w:rFonts w:ascii="Times New Roman" w:hAnsi="Times New Roman" w:cs="Times New Roman"/>
                <w:b/>
                <w:color w:val="000000" w:themeColor="text1"/>
              </w:rPr>
            </w:pPr>
          </w:p>
        </w:tc>
        <w:tc>
          <w:tcPr>
            <w:tcW w:w="1134" w:type="dxa"/>
            <w:shd w:val="clear" w:color="auto" w:fill="D9D9D9" w:themeFill="background1" w:themeFillShade="D9"/>
            <w:vAlign w:val="center"/>
          </w:tcPr>
          <w:p w:rsidR="004E58A6" w:rsidRPr="00E32F6E" w:rsidRDefault="004E58A6" w:rsidP="00E32F6E">
            <w:pPr>
              <w:rPr>
                <w:rFonts w:ascii="Times New Roman" w:hAnsi="Times New Roman" w:cs="Times New Roman"/>
                <w:b/>
                <w:color w:val="000000" w:themeColor="text1"/>
              </w:rPr>
            </w:pPr>
          </w:p>
        </w:tc>
      </w:tr>
      <w:tr w:rsidR="00E32F6E" w:rsidRPr="00E32F6E" w:rsidTr="0054676E">
        <w:trPr>
          <w:cantSplit/>
        </w:trPr>
        <w:tc>
          <w:tcPr>
            <w:tcW w:w="792" w:type="dxa"/>
            <w:shd w:val="clear" w:color="auto" w:fill="auto"/>
            <w:vAlign w:val="center"/>
          </w:tcPr>
          <w:p w:rsidR="004E58A6" w:rsidRPr="00E32F6E" w:rsidRDefault="0090379A"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6.1</w:t>
            </w:r>
          </w:p>
        </w:tc>
        <w:tc>
          <w:tcPr>
            <w:tcW w:w="3454" w:type="dxa"/>
            <w:shd w:val="clear" w:color="auto" w:fill="auto"/>
            <w:vAlign w:val="center"/>
          </w:tcPr>
          <w:p w:rsidR="004E58A6" w:rsidRPr="00E32F6E" w:rsidRDefault="0090379A"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Spremljanje</w:t>
            </w:r>
          </w:p>
        </w:tc>
        <w:tc>
          <w:tcPr>
            <w:tcW w:w="4287"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c>
          <w:tcPr>
            <w:tcW w:w="1134"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4E58A6" w:rsidRPr="00AD29B3" w:rsidRDefault="0090379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6.1.1</w:t>
            </w:r>
          </w:p>
        </w:tc>
        <w:tc>
          <w:tcPr>
            <w:tcW w:w="3454" w:type="dxa"/>
            <w:shd w:val="clear" w:color="auto" w:fill="auto"/>
            <w:vAlign w:val="center"/>
          </w:tcPr>
          <w:p w:rsidR="004E58A6" w:rsidRPr="00AD29B3" w:rsidRDefault="0090379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spremljanje izvaja v skladu z Uredbo (EU) št. 1078/2012:</w:t>
            </w:r>
          </w:p>
        </w:tc>
        <w:tc>
          <w:tcPr>
            <w:tcW w:w="4287" w:type="dxa"/>
            <w:shd w:val="clear" w:color="auto" w:fill="auto"/>
            <w:vAlign w:val="center"/>
          </w:tcPr>
          <w:p w:rsidR="004E58A6" w:rsidRPr="00AD29B3" w:rsidRDefault="004E58A6" w:rsidP="00AD29B3">
            <w:pPr>
              <w:rPr>
                <w:rFonts w:ascii="Times New Roman" w:hAnsi="Times New Roman" w:cs="Times New Roman"/>
                <w:color w:val="000000" w:themeColor="text1"/>
              </w:rPr>
            </w:pP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 preverjanje pravilne uporabe in uspešnosti vseh procesov in postopkov sistema upravljanja varnosti, vključno z operativnimi, organizacijskimi in tehničnimi varnostnimi ukrepi;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 preverjanje pravilne uporabe sistema upravljanja varnosti kot celote in doseganja pričakovanih rezultatov;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 preverjanje, ali je sistem upravljanja varnosti skladen z zahtevami iz te uredbe;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za ugotavljanje, izvajanje in ocenjevanje uspešnosti korektivnih ukrepov (glej 7.2 Stalno izboljševanje) kot je ustrezno, v kolikor se odkrije primer neskladnosti s točkami (a), (b) in (c).</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4E58A6" w:rsidRPr="00AD29B3" w:rsidRDefault="0090379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6.1.2</w:t>
            </w:r>
          </w:p>
        </w:tc>
        <w:tc>
          <w:tcPr>
            <w:tcW w:w="3454" w:type="dxa"/>
            <w:shd w:val="clear" w:color="auto" w:fill="auto"/>
            <w:vAlign w:val="center"/>
          </w:tcPr>
          <w:p w:rsidR="004E58A6" w:rsidRPr="00AD29B3" w:rsidRDefault="0090379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na vseh ravneh znotraj organizacije redno spremlja uspešnost nalog v zvezi z varnostjo in ukrepa, če se te naloge ne izvajajo ustrezno.</w:t>
            </w:r>
          </w:p>
        </w:tc>
        <w:tc>
          <w:tcPr>
            <w:tcW w:w="4287" w:type="dxa"/>
            <w:shd w:val="clear" w:color="auto" w:fill="auto"/>
            <w:vAlign w:val="center"/>
          </w:tcPr>
          <w:p w:rsidR="004E58A6"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4E58A6" w:rsidRPr="00AD29B3" w:rsidRDefault="004E58A6"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4E58A6" w:rsidRPr="00E32F6E" w:rsidRDefault="0090379A"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6.2</w:t>
            </w:r>
          </w:p>
        </w:tc>
        <w:tc>
          <w:tcPr>
            <w:tcW w:w="3454" w:type="dxa"/>
            <w:shd w:val="clear" w:color="auto" w:fill="auto"/>
            <w:vAlign w:val="center"/>
          </w:tcPr>
          <w:p w:rsidR="004E58A6" w:rsidRPr="00E32F6E" w:rsidRDefault="0090379A"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Notranja presoja</w:t>
            </w:r>
          </w:p>
        </w:tc>
        <w:tc>
          <w:tcPr>
            <w:tcW w:w="4287"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c>
          <w:tcPr>
            <w:tcW w:w="1134" w:type="dxa"/>
            <w:shd w:val="clear" w:color="auto" w:fill="auto"/>
            <w:vAlign w:val="center"/>
          </w:tcPr>
          <w:p w:rsidR="004E58A6" w:rsidRPr="00E32F6E" w:rsidRDefault="004E58A6"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0C0E27" w:rsidRPr="00AD29B3" w:rsidRDefault="0090379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6.2.1</w:t>
            </w:r>
          </w:p>
        </w:tc>
        <w:tc>
          <w:tcPr>
            <w:tcW w:w="3454" w:type="dxa"/>
            <w:shd w:val="clear" w:color="auto" w:fill="auto"/>
            <w:vAlign w:val="center"/>
          </w:tcPr>
          <w:p w:rsidR="000C0E27" w:rsidRPr="00AD29B3" w:rsidRDefault="0090379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izvaja notranje presoje na neodvisen, nepristranski in pregleden način, da za namene spremljanja zbere in analizira informacije (glej 6.1 Spremljanje), vključno z:</w:t>
            </w:r>
          </w:p>
        </w:tc>
        <w:tc>
          <w:tcPr>
            <w:tcW w:w="4287" w:type="dxa"/>
            <w:shd w:val="clear" w:color="auto" w:fill="auto"/>
            <w:vAlign w:val="center"/>
          </w:tcPr>
          <w:p w:rsidR="000C0E27" w:rsidRPr="00AD29B3" w:rsidRDefault="000C0E27" w:rsidP="00AD29B3">
            <w:pPr>
              <w:rPr>
                <w:rFonts w:ascii="Times New Roman" w:hAnsi="Times New Roman" w:cs="Times New Roman"/>
                <w:color w:val="000000" w:themeColor="text1"/>
              </w:rPr>
            </w:pPr>
          </w:p>
        </w:tc>
        <w:tc>
          <w:tcPr>
            <w:tcW w:w="1134" w:type="dxa"/>
            <w:shd w:val="clear" w:color="auto" w:fill="auto"/>
            <w:vAlign w:val="center"/>
          </w:tcPr>
          <w:p w:rsidR="000C0E27" w:rsidRPr="00AD29B3" w:rsidRDefault="000C0E27"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načrtom notranjih presoj, ki se lahko spremeni glede na rezultate prejšnjih presoj in spremljanja uspešnosti;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določitvijo in izborom usposobljenih presojevalcev (glej 4.2 Usposobljenost);</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analizo in oceno izsledkov presoj;</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ugotovitvijo potreb po korektivnih ukrepih ali ukrepih za izboljšanje;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e</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preverjanjem popolnosti in uspešnosti teh ukrepov;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f</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dokumentacijo v zvezi z izvedbo in izsledki presoj;</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g</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obveščanjem najvišjega vodstva o izsledkih presoj.</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90379A" w:rsidRPr="00E32F6E" w:rsidRDefault="00603B74"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6.3</w:t>
            </w:r>
          </w:p>
        </w:tc>
        <w:tc>
          <w:tcPr>
            <w:tcW w:w="3454" w:type="dxa"/>
            <w:shd w:val="clear" w:color="auto" w:fill="auto"/>
            <w:vAlign w:val="center"/>
          </w:tcPr>
          <w:p w:rsidR="0090379A" w:rsidRPr="00E32F6E" w:rsidRDefault="00603B74"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Vodstveni pregled</w:t>
            </w:r>
          </w:p>
        </w:tc>
        <w:tc>
          <w:tcPr>
            <w:tcW w:w="4287" w:type="dxa"/>
            <w:shd w:val="clear" w:color="auto" w:fill="auto"/>
            <w:vAlign w:val="center"/>
          </w:tcPr>
          <w:p w:rsidR="0090379A" w:rsidRPr="00E32F6E" w:rsidRDefault="0090379A" w:rsidP="00E32F6E">
            <w:pPr>
              <w:rPr>
                <w:rFonts w:ascii="Times New Roman" w:hAnsi="Times New Roman" w:cs="Times New Roman"/>
                <w:b/>
                <w:color w:val="000000" w:themeColor="text1"/>
              </w:rPr>
            </w:pPr>
          </w:p>
        </w:tc>
        <w:tc>
          <w:tcPr>
            <w:tcW w:w="1134" w:type="dxa"/>
            <w:shd w:val="clear" w:color="auto" w:fill="auto"/>
            <w:vAlign w:val="center"/>
          </w:tcPr>
          <w:p w:rsidR="0090379A" w:rsidRPr="00E32F6E" w:rsidRDefault="0090379A"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90379A" w:rsidRPr="00AD29B3" w:rsidRDefault="00603B74"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6.3.1</w:t>
            </w:r>
          </w:p>
        </w:tc>
        <w:tc>
          <w:tcPr>
            <w:tcW w:w="3454" w:type="dxa"/>
            <w:shd w:val="clear" w:color="auto" w:fill="auto"/>
            <w:vAlign w:val="center"/>
          </w:tcPr>
          <w:p w:rsidR="0090379A" w:rsidRPr="00AD29B3" w:rsidRDefault="00603B74"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Najvišje vodstvo redno pregleduje stalno ustreznost in uspešnost sistema upravljanja varnosti, pri čemer obravnava vsaj:</w:t>
            </w:r>
          </w:p>
        </w:tc>
        <w:tc>
          <w:tcPr>
            <w:tcW w:w="4287" w:type="dxa"/>
            <w:shd w:val="clear" w:color="auto" w:fill="auto"/>
            <w:vAlign w:val="center"/>
          </w:tcPr>
          <w:p w:rsidR="0090379A" w:rsidRPr="00AD29B3" w:rsidRDefault="0090379A" w:rsidP="00AD29B3">
            <w:pPr>
              <w:rPr>
                <w:rFonts w:ascii="Times New Roman" w:hAnsi="Times New Roman" w:cs="Times New Roman"/>
                <w:color w:val="000000" w:themeColor="text1"/>
              </w:rPr>
            </w:pPr>
          </w:p>
        </w:tc>
        <w:tc>
          <w:tcPr>
            <w:tcW w:w="1134" w:type="dxa"/>
            <w:shd w:val="clear" w:color="auto" w:fill="auto"/>
            <w:vAlign w:val="center"/>
          </w:tcPr>
          <w:p w:rsidR="0090379A" w:rsidRPr="00AD29B3" w:rsidRDefault="0090379A"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podrobnosti napredka pri obravnavi neuresničenih ukrepov iz prejšnjih vodstvenih pregledov;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spreminjajoče se notranje in zunanje okoliščine (glej 1. Organizacijska zasnova);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uspešnost organizacije na področju varnosti v zvezi z:</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jc w:val="center"/>
              <w:rPr>
                <w:rFonts w:ascii="Times New Roman" w:hAnsi="Times New Roman" w:cs="Times New Roman"/>
                <w:color w:val="000000" w:themeColor="text1"/>
              </w:rPr>
            </w:pPr>
            <w:r w:rsidRPr="00AD29B3">
              <w:rPr>
                <w:rFonts w:ascii="Times New Roman" w:hAnsi="Times New Roman" w:cs="Times New Roman"/>
                <w:color w:val="000000" w:themeColor="text1"/>
              </w:rPr>
              <w:t>i</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izpolnjevanjem varnostnih ciljev;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jc w:val="center"/>
              <w:rPr>
                <w:rFonts w:ascii="Times New Roman" w:hAnsi="Times New Roman" w:cs="Times New Roman"/>
                <w:color w:val="000000" w:themeColor="text1"/>
              </w:rPr>
            </w:pPr>
            <w:r w:rsidRPr="00AD29B3">
              <w:rPr>
                <w:rFonts w:ascii="Times New Roman" w:hAnsi="Times New Roman" w:cs="Times New Roman"/>
                <w:color w:val="000000" w:themeColor="text1"/>
              </w:rPr>
              <w:t>ii</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rezultati spremljanja, vključno z izsledki notranje presoje, in notranjimi preiskavami nesreč/incidentov ter statusom pripadajočih ukrepov;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bookmarkStart w:id="2" w:name="_GoBack"/>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bookmarkEnd w:id="2"/>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jc w:val="center"/>
              <w:rPr>
                <w:rFonts w:ascii="Times New Roman" w:hAnsi="Times New Roman" w:cs="Times New Roman"/>
                <w:color w:val="000000" w:themeColor="text1"/>
              </w:rPr>
            </w:pPr>
            <w:r w:rsidRPr="00AD29B3">
              <w:rPr>
                <w:rFonts w:ascii="Times New Roman" w:hAnsi="Times New Roman" w:cs="Times New Roman"/>
                <w:color w:val="000000" w:themeColor="text1"/>
              </w:rPr>
              <w:t>iii</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zadevnimi rezultati nadzornih aktivnosti, ki jih izvaja nacionalni varnostni organ;</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priporočila za izboljšave.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6.3.2</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Na podlagi rezultatov vodstvenega pregleda najvišje vodstvo prevzame celotno odgovornost za načrtovanje in izvajanje potrebnih sprememb v sistemu upravljanja varnosti.</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D9D9D9" w:themeFill="background1" w:themeFillShade="D9"/>
            <w:vAlign w:val="center"/>
          </w:tcPr>
          <w:p w:rsidR="0090379A" w:rsidRPr="00E32F6E" w:rsidRDefault="006539CD"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7.</w:t>
            </w:r>
          </w:p>
        </w:tc>
        <w:tc>
          <w:tcPr>
            <w:tcW w:w="3454" w:type="dxa"/>
            <w:shd w:val="clear" w:color="auto" w:fill="D9D9D9" w:themeFill="background1" w:themeFillShade="D9"/>
            <w:vAlign w:val="center"/>
          </w:tcPr>
          <w:p w:rsidR="0090379A" w:rsidRPr="00E32F6E" w:rsidRDefault="006539CD"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IZBOLJŠAVE</w:t>
            </w:r>
          </w:p>
        </w:tc>
        <w:tc>
          <w:tcPr>
            <w:tcW w:w="4287" w:type="dxa"/>
            <w:shd w:val="clear" w:color="auto" w:fill="D9D9D9" w:themeFill="background1" w:themeFillShade="D9"/>
            <w:vAlign w:val="center"/>
          </w:tcPr>
          <w:p w:rsidR="0090379A" w:rsidRPr="00E32F6E" w:rsidRDefault="0090379A" w:rsidP="00E32F6E">
            <w:pPr>
              <w:rPr>
                <w:rFonts w:ascii="Times New Roman" w:hAnsi="Times New Roman" w:cs="Times New Roman"/>
                <w:b/>
                <w:color w:val="000000" w:themeColor="text1"/>
              </w:rPr>
            </w:pPr>
          </w:p>
        </w:tc>
        <w:tc>
          <w:tcPr>
            <w:tcW w:w="1134" w:type="dxa"/>
            <w:shd w:val="clear" w:color="auto" w:fill="D9D9D9" w:themeFill="background1" w:themeFillShade="D9"/>
            <w:vAlign w:val="center"/>
          </w:tcPr>
          <w:p w:rsidR="0090379A" w:rsidRPr="00E32F6E" w:rsidRDefault="0090379A" w:rsidP="00E32F6E">
            <w:pPr>
              <w:rPr>
                <w:rFonts w:ascii="Times New Roman" w:hAnsi="Times New Roman" w:cs="Times New Roman"/>
                <w:b/>
                <w:color w:val="000000" w:themeColor="text1"/>
              </w:rPr>
            </w:pPr>
          </w:p>
        </w:tc>
      </w:tr>
      <w:tr w:rsidR="00E32F6E" w:rsidRPr="00E32F6E" w:rsidTr="0054676E">
        <w:trPr>
          <w:cantSplit/>
        </w:trPr>
        <w:tc>
          <w:tcPr>
            <w:tcW w:w="792" w:type="dxa"/>
            <w:shd w:val="clear" w:color="auto" w:fill="auto"/>
            <w:vAlign w:val="center"/>
          </w:tcPr>
          <w:p w:rsidR="0090379A" w:rsidRPr="00E32F6E" w:rsidRDefault="006539CD"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7.1</w:t>
            </w:r>
          </w:p>
        </w:tc>
        <w:tc>
          <w:tcPr>
            <w:tcW w:w="3454" w:type="dxa"/>
            <w:shd w:val="clear" w:color="auto" w:fill="auto"/>
            <w:vAlign w:val="center"/>
          </w:tcPr>
          <w:p w:rsidR="0090379A" w:rsidRPr="00E32F6E" w:rsidRDefault="006539CD" w:rsidP="00E32F6E">
            <w:pPr>
              <w:rPr>
                <w:rFonts w:ascii="Times New Roman" w:hAnsi="Times New Roman" w:cs="Times New Roman"/>
                <w:b/>
                <w:color w:val="000000" w:themeColor="text1"/>
              </w:rPr>
            </w:pPr>
            <w:r w:rsidRPr="00E32F6E">
              <w:rPr>
                <w:rFonts w:ascii="Times New Roman" w:hAnsi="Times New Roman" w:cs="Times New Roman"/>
                <w:b/>
                <w:bCs/>
                <w:color w:val="000000" w:themeColor="text1"/>
                <w:shd w:val="clear" w:color="auto" w:fill="FFFFFF"/>
              </w:rPr>
              <w:t>Izsledki iz nesreč in incidentov</w:t>
            </w:r>
          </w:p>
        </w:tc>
        <w:tc>
          <w:tcPr>
            <w:tcW w:w="4287" w:type="dxa"/>
            <w:shd w:val="clear" w:color="auto" w:fill="auto"/>
            <w:vAlign w:val="center"/>
          </w:tcPr>
          <w:p w:rsidR="0090379A" w:rsidRPr="00E32F6E" w:rsidRDefault="0090379A" w:rsidP="00E32F6E">
            <w:pPr>
              <w:rPr>
                <w:rFonts w:ascii="Times New Roman" w:hAnsi="Times New Roman" w:cs="Times New Roman"/>
                <w:b/>
                <w:color w:val="000000" w:themeColor="text1"/>
              </w:rPr>
            </w:pPr>
          </w:p>
        </w:tc>
        <w:tc>
          <w:tcPr>
            <w:tcW w:w="1134" w:type="dxa"/>
            <w:shd w:val="clear" w:color="auto" w:fill="auto"/>
            <w:vAlign w:val="center"/>
          </w:tcPr>
          <w:p w:rsidR="0090379A" w:rsidRPr="00E32F6E" w:rsidRDefault="0090379A"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90379A" w:rsidRPr="00AD29B3" w:rsidRDefault="00651B8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7.1.1</w:t>
            </w:r>
          </w:p>
        </w:tc>
        <w:tc>
          <w:tcPr>
            <w:tcW w:w="3454" w:type="dxa"/>
            <w:shd w:val="clear" w:color="auto" w:fill="auto"/>
            <w:vAlign w:val="center"/>
          </w:tcPr>
          <w:p w:rsidR="0090379A" w:rsidRPr="00AD29B3" w:rsidRDefault="00651B8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Organizacija o nesrečah in incidentih pri obratovanju v železniškem prometu:</w:t>
            </w:r>
          </w:p>
        </w:tc>
        <w:tc>
          <w:tcPr>
            <w:tcW w:w="4287" w:type="dxa"/>
            <w:shd w:val="clear" w:color="auto" w:fill="auto"/>
            <w:vAlign w:val="center"/>
          </w:tcPr>
          <w:p w:rsidR="0090379A" w:rsidRPr="00AD29B3" w:rsidRDefault="0090379A" w:rsidP="00AD29B3">
            <w:pPr>
              <w:rPr>
                <w:rFonts w:ascii="Times New Roman" w:hAnsi="Times New Roman" w:cs="Times New Roman"/>
                <w:color w:val="000000" w:themeColor="text1"/>
              </w:rPr>
            </w:pPr>
          </w:p>
        </w:tc>
        <w:tc>
          <w:tcPr>
            <w:tcW w:w="1134" w:type="dxa"/>
            <w:shd w:val="clear" w:color="auto" w:fill="auto"/>
            <w:vAlign w:val="center"/>
          </w:tcPr>
          <w:p w:rsidR="0090379A" w:rsidRPr="00AD29B3" w:rsidRDefault="0090379A"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poroča, sestavi zapisnik, opravi preiskavo in analizo za ugotovitev vzrokov;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poroča nacionalnim organom, kot je ustrezno.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90379A" w:rsidRPr="00AD29B3" w:rsidRDefault="00651B8A"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7.1.2</w:t>
            </w:r>
          </w:p>
        </w:tc>
        <w:tc>
          <w:tcPr>
            <w:tcW w:w="3454" w:type="dxa"/>
            <w:shd w:val="clear" w:color="auto" w:fill="auto"/>
            <w:vAlign w:val="center"/>
          </w:tcPr>
          <w:p w:rsidR="0090379A" w:rsidRPr="00AD29B3" w:rsidRDefault="00651B8A" w:rsidP="00AD29B3">
            <w:pPr>
              <w:rPr>
                <w:rFonts w:ascii="Times New Roman" w:hAnsi="Times New Roman" w:cs="Times New Roman"/>
                <w:color w:val="000000" w:themeColor="text1"/>
              </w:rPr>
            </w:pPr>
            <w:r w:rsidRPr="00AD29B3">
              <w:rPr>
                <w:rFonts w:ascii="Times New Roman" w:hAnsi="Times New Roman" w:cs="Times New Roman"/>
                <w:color w:val="000000" w:themeColor="text1"/>
                <w:shd w:val="clear" w:color="auto" w:fill="FFFFFF"/>
              </w:rPr>
              <w:t>Organizacija zagotovi, da:</w:t>
            </w:r>
          </w:p>
        </w:tc>
        <w:tc>
          <w:tcPr>
            <w:tcW w:w="4287" w:type="dxa"/>
            <w:shd w:val="clear" w:color="auto" w:fill="auto"/>
            <w:vAlign w:val="center"/>
          </w:tcPr>
          <w:p w:rsidR="0090379A" w:rsidRPr="00AD29B3" w:rsidRDefault="0090379A" w:rsidP="00AD29B3">
            <w:pPr>
              <w:rPr>
                <w:rFonts w:ascii="Times New Roman" w:hAnsi="Times New Roman" w:cs="Times New Roman"/>
                <w:color w:val="000000" w:themeColor="text1"/>
              </w:rPr>
            </w:pPr>
          </w:p>
        </w:tc>
        <w:tc>
          <w:tcPr>
            <w:tcW w:w="1134" w:type="dxa"/>
            <w:shd w:val="clear" w:color="auto" w:fill="auto"/>
            <w:vAlign w:val="center"/>
          </w:tcPr>
          <w:p w:rsidR="0090379A" w:rsidRPr="00AD29B3" w:rsidRDefault="0090379A"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se priporočila nacionalnega varnostnega organa, nacionalnega preiskovalnega organa in preiskav industrije/internih preiskav ocenijo in izvajajo, če je ustrezno ali obvezno;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se ustrezna poročila/informacije drugih zainteresiranih strani, kot so prevozniki v železniškem prometu, upravljavci infrastrukture, subjekti, zadolženi za vzdrževanje, in imetniki železniških vozil, preučijo in upoštevajo.</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7.1.3</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Organizacija informacije v zvezi s preiskavo uporabi za pregled ocene tveganj (glej 3.1.1. Ocena tveganj), da jih uporabi za izboljšanje varnosti in da, kjer je ustrezno, sprejme korektivne ukrepe ter ukrepe za izboljšanje (glej 5.4 Upravljanje sprememb).</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E32F6E" w:rsidTr="0054676E">
        <w:trPr>
          <w:cantSplit/>
        </w:trPr>
        <w:tc>
          <w:tcPr>
            <w:tcW w:w="792" w:type="dxa"/>
            <w:shd w:val="clear" w:color="auto" w:fill="auto"/>
            <w:vAlign w:val="center"/>
          </w:tcPr>
          <w:p w:rsidR="0090379A" w:rsidRPr="00E32F6E" w:rsidRDefault="00974F6B" w:rsidP="00E32F6E">
            <w:pPr>
              <w:rPr>
                <w:rFonts w:ascii="Times New Roman" w:hAnsi="Times New Roman" w:cs="Times New Roman"/>
                <w:b/>
                <w:color w:val="000000" w:themeColor="text1"/>
              </w:rPr>
            </w:pPr>
            <w:r w:rsidRPr="00E32F6E">
              <w:rPr>
                <w:rFonts w:ascii="Times New Roman" w:hAnsi="Times New Roman" w:cs="Times New Roman"/>
                <w:b/>
                <w:color w:val="000000" w:themeColor="text1"/>
              </w:rPr>
              <w:t>7.2</w:t>
            </w:r>
          </w:p>
        </w:tc>
        <w:tc>
          <w:tcPr>
            <w:tcW w:w="3454" w:type="dxa"/>
            <w:shd w:val="clear" w:color="auto" w:fill="auto"/>
            <w:vAlign w:val="center"/>
          </w:tcPr>
          <w:p w:rsidR="0090379A" w:rsidRPr="00E32F6E" w:rsidRDefault="00974F6B" w:rsidP="00E32F6E">
            <w:pPr>
              <w:rPr>
                <w:rFonts w:ascii="Times New Roman" w:hAnsi="Times New Roman" w:cs="Times New Roman"/>
                <w:b/>
                <w:color w:val="000000" w:themeColor="text1"/>
              </w:rPr>
            </w:pPr>
            <w:r w:rsidRPr="00E32F6E">
              <w:rPr>
                <w:rStyle w:val="bold"/>
                <w:rFonts w:ascii="Times New Roman" w:hAnsi="Times New Roman" w:cs="Times New Roman"/>
                <w:b/>
                <w:bCs/>
                <w:color w:val="000000" w:themeColor="text1"/>
                <w:shd w:val="clear" w:color="auto" w:fill="FFFFFF"/>
              </w:rPr>
              <w:t>Stalno izboljševanje</w:t>
            </w:r>
          </w:p>
        </w:tc>
        <w:tc>
          <w:tcPr>
            <w:tcW w:w="4287" w:type="dxa"/>
            <w:shd w:val="clear" w:color="auto" w:fill="auto"/>
            <w:vAlign w:val="center"/>
          </w:tcPr>
          <w:p w:rsidR="0090379A" w:rsidRPr="00E32F6E" w:rsidRDefault="0090379A" w:rsidP="00E32F6E">
            <w:pPr>
              <w:rPr>
                <w:rFonts w:ascii="Times New Roman" w:hAnsi="Times New Roman" w:cs="Times New Roman"/>
                <w:b/>
                <w:color w:val="000000" w:themeColor="text1"/>
              </w:rPr>
            </w:pPr>
          </w:p>
        </w:tc>
        <w:tc>
          <w:tcPr>
            <w:tcW w:w="1134" w:type="dxa"/>
            <w:shd w:val="clear" w:color="auto" w:fill="auto"/>
            <w:vAlign w:val="center"/>
          </w:tcPr>
          <w:p w:rsidR="0090379A" w:rsidRPr="00E32F6E" w:rsidRDefault="0090379A" w:rsidP="00E32F6E">
            <w:pPr>
              <w:rPr>
                <w:rFonts w:ascii="Times New Roman" w:hAnsi="Times New Roman" w:cs="Times New Roman"/>
                <w:b/>
                <w:color w:val="000000" w:themeColor="text1"/>
              </w:rPr>
            </w:pPr>
          </w:p>
        </w:tc>
      </w:tr>
      <w:tr w:rsidR="00E32F6E" w:rsidRPr="00AD29B3" w:rsidTr="0054676E">
        <w:trPr>
          <w:cantSplit/>
        </w:trPr>
        <w:tc>
          <w:tcPr>
            <w:tcW w:w="792" w:type="dxa"/>
            <w:shd w:val="clear" w:color="auto" w:fill="auto"/>
            <w:vAlign w:val="center"/>
          </w:tcPr>
          <w:p w:rsidR="0090379A" w:rsidRPr="00AD29B3" w:rsidRDefault="00D03F8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7.2.1</w:t>
            </w:r>
          </w:p>
        </w:tc>
        <w:tc>
          <w:tcPr>
            <w:tcW w:w="3454" w:type="dxa"/>
            <w:shd w:val="clear" w:color="auto" w:fill="auto"/>
            <w:vAlign w:val="center"/>
          </w:tcPr>
          <w:p w:rsidR="0090379A" w:rsidRPr="00AD29B3" w:rsidRDefault="00D03F8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Organizacija stalno izboljšuje ustreznost in uspešnost sistema upravljanja varnosti, pri čemer upošteva okvir iz Uredbe (EU) št. 1078/2012 in vsaj rezultate naslednjih aktivnosti:</w:t>
            </w:r>
          </w:p>
        </w:tc>
        <w:tc>
          <w:tcPr>
            <w:tcW w:w="4287" w:type="dxa"/>
            <w:shd w:val="clear" w:color="auto" w:fill="auto"/>
            <w:vAlign w:val="center"/>
          </w:tcPr>
          <w:p w:rsidR="0090379A" w:rsidRPr="00AD29B3" w:rsidRDefault="0090379A" w:rsidP="00AD29B3">
            <w:pPr>
              <w:rPr>
                <w:rFonts w:ascii="Times New Roman" w:hAnsi="Times New Roman" w:cs="Times New Roman"/>
                <w:color w:val="000000" w:themeColor="text1"/>
              </w:rPr>
            </w:pPr>
          </w:p>
        </w:tc>
        <w:tc>
          <w:tcPr>
            <w:tcW w:w="1134" w:type="dxa"/>
            <w:shd w:val="clear" w:color="auto" w:fill="auto"/>
            <w:vAlign w:val="center"/>
          </w:tcPr>
          <w:p w:rsidR="0090379A" w:rsidRPr="00AD29B3" w:rsidRDefault="0090379A"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a</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spremljanje (glej 6.1 Spremljanje);</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b</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notranja presoja (glej 6.2 Notranja presoja);</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c</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vodstveni pregled (glej 6.3 Vodstveni pregled);</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d</w:t>
            </w:r>
          </w:p>
        </w:tc>
        <w:tc>
          <w:tcPr>
            <w:tcW w:w="3454"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izsledki iz nesreč in incidentov (glej 7.1 Izsledki iz nesreč in incidentov).</w:t>
            </w:r>
          </w:p>
        </w:tc>
        <w:tc>
          <w:tcPr>
            <w:tcW w:w="4287" w:type="dxa"/>
            <w:shd w:val="clear" w:color="auto" w:fill="auto"/>
            <w:vAlign w:val="center"/>
          </w:tcPr>
          <w:p w:rsidR="00287F79"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287F79" w:rsidRPr="00AD29B3" w:rsidRDefault="00287F79" w:rsidP="00AD29B3">
            <w:pPr>
              <w:rPr>
                <w:rFonts w:ascii="Times New Roman" w:hAnsi="Times New Roman" w:cs="Times New Roman"/>
                <w:color w:val="000000" w:themeColor="text1"/>
              </w:rPr>
            </w:pPr>
          </w:p>
        </w:tc>
      </w:tr>
      <w:tr w:rsidR="00E32F6E" w:rsidRPr="00AD29B3" w:rsidTr="0054676E">
        <w:trPr>
          <w:cantSplit/>
        </w:trPr>
        <w:tc>
          <w:tcPr>
            <w:tcW w:w="792" w:type="dxa"/>
            <w:shd w:val="clear" w:color="auto" w:fill="auto"/>
            <w:vAlign w:val="center"/>
          </w:tcPr>
          <w:p w:rsidR="0090379A" w:rsidRPr="00AD29B3" w:rsidRDefault="00D03F8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7.2.2</w:t>
            </w:r>
          </w:p>
        </w:tc>
        <w:tc>
          <w:tcPr>
            <w:tcW w:w="3454" w:type="dxa"/>
            <w:shd w:val="clear" w:color="auto" w:fill="auto"/>
            <w:vAlign w:val="center"/>
          </w:tcPr>
          <w:p w:rsidR="0090379A" w:rsidRPr="00AD29B3" w:rsidRDefault="00D03F80" w:rsidP="00AD29B3">
            <w:pPr>
              <w:rPr>
                <w:rFonts w:ascii="Times New Roman" w:hAnsi="Times New Roman" w:cs="Times New Roman"/>
                <w:color w:val="000000" w:themeColor="text1"/>
                <w:lang w:eastAsia="sl-SI"/>
              </w:rPr>
            </w:pPr>
            <w:r w:rsidRPr="00AD29B3">
              <w:rPr>
                <w:rFonts w:ascii="Times New Roman" w:hAnsi="Times New Roman" w:cs="Times New Roman"/>
                <w:color w:val="000000" w:themeColor="text1"/>
              </w:rPr>
              <w:t>Organizacija zagotovi sredstva za motiviranje osebja in drugih zainteresiranih strani, da so kot del organizacijskega učenja aktivni pri izboljševanju varnosti.</w:t>
            </w:r>
          </w:p>
        </w:tc>
        <w:tc>
          <w:tcPr>
            <w:tcW w:w="4287" w:type="dxa"/>
            <w:shd w:val="clear" w:color="auto" w:fill="auto"/>
            <w:vAlign w:val="center"/>
          </w:tcPr>
          <w:p w:rsidR="0090379A"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90379A" w:rsidRPr="00AD29B3" w:rsidRDefault="0090379A" w:rsidP="00AD29B3">
            <w:pPr>
              <w:rPr>
                <w:rFonts w:ascii="Times New Roman" w:hAnsi="Times New Roman" w:cs="Times New Roman"/>
                <w:color w:val="000000" w:themeColor="text1"/>
              </w:rPr>
            </w:pPr>
          </w:p>
        </w:tc>
      </w:tr>
      <w:tr w:rsidR="00AD29B3" w:rsidRPr="00AD29B3" w:rsidTr="0054676E">
        <w:trPr>
          <w:cantSplit/>
        </w:trPr>
        <w:tc>
          <w:tcPr>
            <w:tcW w:w="792" w:type="dxa"/>
            <w:shd w:val="clear" w:color="auto" w:fill="auto"/>
            <w:vAlign w:val="center"/>
          </w:tcPr>
          <w:p w:rsidR="0090379A" w:rsidRPr="00AD29B3" w:rsidRDefault="00D03F8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lastRenderedPageBreak/>
              <w:t>7.2.3</w:t>
            </w:r>
          </w:p>
        </w:tc>
        <w:tc>
          <w:tcPr>
            <w:tcW w:w="3454" w:type="dxa"/>
            <w:shd w:val="clear" w:color="auto" w:fill="auto"/>
            <w:vAlign w:val="center"/>
          </w:tcPr>
          <w:p w:rsidR="0090379A" w:rsidRPr="00AD29B3" w:rsidRDefault="00D03F80" w:rsidP="00AD29B3">
            <w:pPr>
              <w:rPr>
                <w:rFonts w:ascii="Times New Roman" w:hAnsi="Times New Roman" w:cs="Times New Roman"/>
                <w:color w:val="000000" w:themeColor="text1"/>
              </w:rPr>
            </w:pPr>
            <w:r w:rsidRPr="00AD29B3">
              <w:rPr>
                <w:rFonts w:ascii="Times New Roman" w:hAnsi="Times New Roman" w:cs="Times New Roman"/>
                <w:color w:val="000000" w:themeColor="text1"/>
              </w:rPr>
              <w:t>Organizacija zagotovi strategijo za neprekinjeno izboljševanje kulture varnosti, kar temelji na uporabi strokovnega znanja in priznanih metod, da se opredelijo vedenjske lastnosti, ki vplivajo na različne dele sistema upravljanja varnosti, in da se uvedejo ukrepi, usmerjeni vanje.</w:t>
            </w:r>
          </w:p>
        </w:tc>
        <w:tc>
          <w:tcPr>
            <w:tcW w:w="4287" w:type="dxa"/>
            <w:shd w:val="clear" w:color="auto" w:fill="auto"/>
            <w:vAlign w:val="center"/>
          </w:tcPr>
          <w:p w:rsidR="0090379A" w:rsidRPr="00AD29B3" w:rsidRDefault="00287F79" w:rsidP="00AD29B3">
            <w:pPr>
              <w:rPr>
                <w:rFonts w:ascii="Times New Roman" w:hAnsi="Times New Roman" w:cs="Times New Roman"/>
                <w:color w:val="000000" w:themeColor="text1"/>
              </w:rPr>
            </w:pPr>
            <w:r w:rsidRPr="00AD29B3">
              <w:rPr>
                <w:rFonts w:ascii="Times New Roman" w:hAnsi="Times New Roman" w:cs="Times New Roman"/>
                <w:color w:val="000000" w:themeColor="text1"/>
              </w:rPr>
              <w:fldChar w:fldCharType="begin">
                <w:ffData>
                  <w:name w:val="Besedilo1"/>
                  <w:enabled/>
                  <w:calcOnExit w:val="0"/>
                  <w:textInput/>
                </w:ffData>
              </w:fldChar>
            </w:r>
            <w:r w:rsidRPr="00AD29B3">
              <w:rPr>
                <w:rFonts w:ascii="Times New Roman" w:hAnsi="Times New Roman" w:cs="Times New Roman"/>
                <w:color w:val="000000" w:themeColor="text1"/>
              </w:rPr>
              <w:instrText xml:space="preserve"> FORMTEXT </w:instrText>
            </w:r>
            <w:r w:rsidRPr="00AD29B3">
              <w:rPr>
                <w:rFonts w:ascii="Times New Roman" w:hAnsi="Times New Roman" w:cs="Times New Roman"/>
                <w:color w:val="000000" w:themeColor="text1"/>
              </w:rPr>
            </w:r>
            <w:r w:rsidRPr="00AD29B3">
              <w:rPr>
                <w:rFonts w:ascii="Times New Roman" w:hAnsi="Times New Roman" w:cs="Times New Roman"/>
                <w:color w:val="000000" w:themeColor="text1"/>
              </w:rPr>
              <w:fldChar w:fldCharType="separate"/>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noProof/>
                <w:color w:val="000000" w:themeColor="text1"/>
              </w:rPr>
              <w:t> </w:t>
            </w:r>
            <w:r w:rsidRPr="00AD29B3">
              <w:rPr>
                <w:rFonts w:ascii="Times New Roman" w:hAnsi="Times New Roman" w:cs="Times New Roman"/>
                <w:color w:val="000000" w:themeColor="text1"/>
              </w:rPr>
              <w:fldChar w:fldCharType="end"/>
            </w:r>
          </w:p>
        </w:tc>
        <w:tc>
          <w:tcPr>
            <w:tcW w:w="1134" w:type="dxa"/>
            <w:shd w:val="clear" w:color="auto" w:fill="auto"/>
            <w:vAlign w:val="center"/>
          </w:tcPr>
          <w:p w:rsidR="0090379A" w:rsidRPr="00AD29B3" w:rsidRDefault="0090379A" w:rsidP="00AD29B3">
            <w:pPr>
              <w:rPr>
                <w:rFonts w:ascii="Times New Roman" w:hAnsi="Times New Roman" w:cs="Times New Roman"/>
                <w:color w:val="000000" w:themeColor="text1"/>
              </w:rPr>
            </w:pPr>
          </w:p>
        </w:tc>
      </w:tr>
    </w:tbl>
    <w:p w:rsidR="008A31FC" w:rsidRPr="003F4FFF" w:rsidRDefault="008A31FC" w:rsidP="003A6325"/>
    <w:sectPr w:rsidR="008A31FC" w:rsidRPr="003F4FFF" w:rsidSect="003A6325">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1907" w:h="16840" w:code="9"/>
      <w:pgMar w:top="1870" w:right="1417" w:bottom="709" w:left="1276" w:header="0" w:footer="47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F79" w:rsidRDefault="00287F79">
      <w:r>
        <w:separator/>
      </w:r>
    </w:p>
  </w:endnote>
  <w:endnote w:type="continuationSeparator" w:id="0">
    <w:p w:rsidR="00287F79" w:rsidRDefault="0028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LTFrutiger Next Regular">
    <w:altName w:val="Times New Roman"/>
    <w:charset w:val="00"/>
    <w:family w:val="auto"/>
    <w:pitch w:val="variable"/>
    <w:sig w:usb0="A00000AF" w:usb1="4000204A" w:usb2="00000000" w:usb3="00000000" w:csb0="0000011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rnkGothITC Bk BT">
    <w:altName w:val="Tahoma"/>
    <w:charset w:val="00"/>
    <w:family w:val="swiss"/>
    <w:pitch w:val="variable"/>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F79" w:rsidRDefault="00287F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F79" w:rsidRDefault="00287F79">
    <w:pPr>
      <w:pStyle w:val="Noga"/>
      <w:jc w:val="right"/>
      <w:rPr>
        <w:sz w:val="18"/>
      </w:rPr>
    </w:pPr>
    <w:r>
      <w:rPr>
        <w:noProof/>
        <w:sz w:val="18"/>
        <w:lang w:eastAsia="sl-SI"/>
      </w:rPr>
      <mc:AlternateContent>
        <mc:Choice Requires="wps">
          <w:drawing>
            <wp:anchor distT="0" distB="0" distL="114300" distR="114300" simplePos="0" relativeHeight="251658240" behindDoc="0" locked="0" layoutInCell="0" allowOverlap="1">
              <wp:simplePos x="0" y="0"/>
              <wp:positionH relativeFrom="page">
                <wp:posOffset>914400</wp:posOffset>
              </wp:positionH>
              <wp:positionV relativeFrom="page">
                <wp:posOffset>10241280</wp:posOffset>
              </wp:positionV>
              <wp:extent cx="576135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EFF62B" id="Line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806.4pt" to="525.65pt,80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" o:allowincell="f">
              <w10:wrap anchorx="page" anchory="page"/>
            </v:line>
          </w:pict>
        </mc:Fallback>
      </mc:AlternateContent>
    </w:r>
    <w:r>
      <w:rPr>
        <w:sz w:val="18"/>
      </w:rPr>
      <w:t xml:space="preserve">Stran </w:t>
    </w:r>
    <w:r>
      <w:rPr>
        <w:sz w:val="18"/>
      </w:rPr>
      <w:fldChar w:fldCharType="begin"/>
    </w:r>
    <w:r>
      <w:rPr>
        <w:sz w:val="18"/>
      </w:rPr>
      <w:instrText xml:space="preserve">PAGE </w:instrText>
    </w:r>
    <w:r>
      <w:rPr>
        <w:sz w:val="18"/>
      </w:rPr>
      <w:fldChar w:fldCharType="separate"/>
    </w:r>
    <w:r w:rsidR="00B41732">
      <w:rPr>
        <w:noProof/>
        <w:sz w:val="18"/>
      </w:rPr>
      <w:t>17</w:t>
    </w:r>
    <w:r>
      <w:rPr>
        <w:sz w:val="18"/>
      </w:rPr>
      <w:fldChar w:fldCharType="end"/>
    </w:r>
    <w:r>
      <w:rPr>
        <w:sz w:val="18"/>
      </w:rPr>
      <w:t xml:space="preserve"> od </w:t>
    </w:r>
    <w:r>
      <w:rPr>
        <w:sz w:val="18"/>
      </w:rPr>
      <w:fldChar w:fldCharType="begin"/>
    </w:r>
    <w:r>
      <w:rPr>
        <w:sz w:val="18"/>
      </w:rPr>
      <w:instrText xml:space="preserve">NUMPAGES </w:instrText>
    </w:r>
    <w:r>
      <w:rPr>
        <w:sz w:val="18"/>
      </w:rPr>
      <w:fldChar w:fldCharType="separate"/>
    </w:r>
    <w:r w:rsidR="00B41732">
      <w:rPr>
        <w:noProof/>
        <w:sz w:val="18"/>
      </w:rPr>
      <w:t>19</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F79" w:rsidRDefault="00287F79">
    <w:pPr>
      <w:pStyle w:val="Noga"/>
      <w:tabs>
        <w:tab w:val="clear" w:pos="4320"/>
        <w:tab w:val="clear" w:pos="8640"/>
        <w:tab w:val="right" w:pos="8505"/>
      </w:tabs>
    </w:pPr>
    <w:r>
      <w:rPr>
        <w:noProof/>
        <w:lang w:eastAsia="sl-SI"/>
      </w:rPr>
      <mc:AlternateContent>
        <mc:Choice Requires="wps">
          <w:drawing>
            <wp:anchor distT="0" distB="0" distL="114300" distR="114300" simplePos="0" relativeHeight="251657216" behindDoc="0" locked="0" layoutInCell="0" allowOverlap="1">
              <wp:simplePos x="0" y="0"/>
              <wp:positionH relativeFrom="margin">
                <wp:posOffset>13970</wp:posOffset>
              </wp:positionH>
              <wp:positionV relativeFrom="paragraph">
                <wp:posOffset>96520</wp:posOffset>
              </wp:positionV>
              <wp:extent cx="5761355" cy="63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5E7262" id="Line 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1pt,7.6pt" to="454.7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" o:allowincell="f">
              <v:stroke startarrowwidth="narrow" startarrowlength="short" endarrowwidth="narrow" endarrowlength="short"/>
              <w10:wrap anchorx="margin"/>
            </v:line>
          </w:pict>
        </mc:Fallback>
      </mc:AlternateContent>
    </w:r>
  </w:p>
  <w:p w:rsidR="00287F79" w:rsidRDefault="00287F79" w:rsidP="00BE19E3">
    <w:pPr>
      <w:spacing w:line="260" w:lineRule="exact"/>
      <w:jc w:val="center"/>
      <w:rPr>
        <w:rFonts w:ascii="FrnkGothITC Bk BT" w:hAnsi="FrnkGothITC Bk BT"/>
        <w:i/>
        <w:sz w:val="18"/>
        <w:szCs w:val="18"/>
      </w:rPr>
    </w:pPr>
    <w:r w:rsidRPr="0091117E">
      <w:rPr>
        <w:rFonts w:ascii="FrnkGothITC Bk BT" w:hAnsi="FrnkGothITC Bk BT"/>
        <w:i/>
        <w:sz w:val="18"/>
        <w:szCs w:val="18"/>
      </w:rPr>
      <w:t>Kopitarjeva ulica 5, 2000 Maribor</w:t>
    </w:r>
    <w:r>
      <w:rPr>
        <w:rFonts w:ascii="FrnkGothITC Bk BT" w:hAnsi="FrnkGothITC Bk BT"/>
        <w:i/>
        <w:sz w:val="18"/>
        <w:szCs w:val="18"/>
      </w:rPr>
      <w:t xml:space="preserve"> </w:t>
    </w:r>
    <w:r w:rsidRPr="0091117E">
      <w:rPr>
        <w:rFonts w:ascii="FrnkGothITC Bk BT" w:hAnsi="FrnkGothITC Bk BT"/>
        <w:i/>
        <w:sz w:val="18"/>
        <w:szCs w:val="18"/>
      </w:rPr>
      <w:t>T: 02 234 14 27</w:t>
    </w:r>
    <w:r>
      <w:rPr>
        <w:rFonts w:ascii="FrnkGothITC Bk BT" w:hAnsi="FrnkGothITC Bk BT"/>
        <w:i/>
        <w:sz w:val="18"/>
        <w:szCs w:val="18"/>
      </w:rPr>
      <w:t xml:space="preserve"> </w:t>
    </w:r>
    <w:r w:rsidRPr="0091117E">
      <w:rPr>
        <w:rFonts w:ascii="FrnkGothITC Bk BT" w:hAnsi="FrnkGothITC Bk BT"/>
        <w:i/>
        <w:sz w:val="18"/>
        <w:szCs w:val="18"/>
      </w:rPr>
      <w:t>F: 02 234 14 52</w:t>
    </w:r>
  </w:p>
  <w:p w:rsidR="00287F79" w:rsidRPr="00BE19E3" w:rsidRDefault="00287F79" w:rsidP="00BE19E3">
    <w:pPr>
      <w:spacing w:line="260" w:lineRule="exact"/>
      <w:jc w:val="center"/>
      <w:rPr>
        <w:rFonts w:ascii="FrnkGothITC Bk BT" w:hAnsi="FrnkGothITC Bk BT"/>
        <w:i/>
        <w:sz w:val="18"/>
        <w:szCs w:val="18"/>
      </w:rPr>
    </w:pPr>
    <w:hyperlink r:id="rId1" w:history="1">
      <w:r w:rsidRPr="00BE19E3">
        <w:rPr>
          <w:rStyle w:val="Hiperpovezava"/>
          <w:rFonts w:ascii="FrnkGothITC Bk BT" w:hAnsi="FrnkGothITC Bk BT"/>
          <w:i/>
          <w:color w:val="auto"/>
          <w:sz w:val="18"/>
          <w:szCs w:val="18"/>
          <w:u w:val="none"/>
        </w:rPr>
        <w:t>gp.azp@azp.si</w:t>
      </w:r>
    </w:hyperlink>
    <w:r w:rsidRPr="00BE19E3">
      <w:rPr>
        <w:rFonts w:ascii="FrnkGothITC Bk BT" w:hAnsi="FrnkGothITC Bk BT"/>
        <w:i/>
        <w:sz w:val="18"/>
        <w:szCs w:val="18"/>
      </w:rPr>
      <w:t xml:space="preserve"> www.azp.si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F79" w:rsidRDefault="00287F79">
      <w:r>
        <w:separator/>
      </w:r>
    </w:p>
  </w:footnote>
  <w:footnote w:type="continuationSeparator" w:id="0">
    <w:p w:rsidR="00287F79" w:rsidRDefault="00287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F79" w:rsidRDefault="00287F7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F79" w:rsidRDefault="00287F7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F79" w:rsidRDefault="00287F79" w:rsidP="008A31FC">
    <w:pPr>
      <w:spacing w:line="260" w:lineRule="exact"/>
      <w:rPr>
        <w:rFonts w:ascii="FrnkGothITC Bk BT" w:hAnsi="FrnkGothITC Bk BT"/>
        <w:b/>
        <w:i/>
        <w:sz w:val="20"/>
      </w:rPr>
    </w:pPr>
  </w:p>
  <w:tbl>
    <w:tblPr>
      <w:tblStyle w:val="Tabelamrea"/>
      <w:tblW w:w="0" w:type="auto"/>
      <w:tblInd w:w="-546" w:type="dxa"/>
      <w:tblLook w:val="0600" w:firstRow="0" w:lastRow="0" w:firstColumn="0" w:lastColumn="0" w:noHBand="1" w:noVBand="1"/>
    </w:tblPr>
    <w:tblGrid>
      <w:gridCol w:w="1870"/>
      <w:gridCol w:w="2508"/>
      <w:gridCol w:w="5382"/>
    </w:tblGrid>
    <w:tr w:rsidR="00287F79" w:rsidTr="009E0B58">
      <w:trPr>
        <w:trHeight w:val="1702"/>
      </w:trPr>
      <w:tc>
        <w:tcPr>
          <w:tcW w:w="1870" w:type="dxa"/>
          <w:tcBorders>
            <w:top w:val="nil"/>
            <w:left w:val="nil"/>
            <w:bottom w:val="nil"/>
            <w:right w:val="single" w:sz="4" w:space="0" w:color="auto"/>
          </w:tcBorders>
        </w:tcPr>
        <w:p w:rsidR="00287F79" w:rsidRDefault="00287F79" w:rsidP="008A31FC">
          <w:pPr>
            <w:spacing w:line="260" w:lineRule="exact"/>
            <w:rPr>
              <w:rFonts w:ascii="FrnkGothITC Bk BT" w:hAnsi="FrnkGothITC Bk BT"/>
              <w:b/>
              <w:i/>
              <w:sz w:val="20"/>
            </w:rPr>
          </w:pPr>
        </w:p>
        <w:p w:rsidR="00287F79" w:rsidRDefault="00287F79" w:rsidP="008A31FC">
          <w:pPr>
            <w:spacing w:line="260" w:lineRule="exact"/>
            <w:rPr>
              <w:rFonts w:ascii="FrnkGothITC Bk BT" w:hAnsi="FrnkGothITC Bk BT"/>
              <w:b/>
              <w:i/>
              <w:sz w:val="20"/>
            </w:rPr>
          </w:pPr>
        </w:p>
      </w:tc>
      <w:tc>
        <w:tcPr>
          <w:tcW w:w="2508" w:type="dxa"/>
          <w:tcBorders>
            <w:top w:val="nil"/>
            <w:left w:val="single" w:sz="4" w:space="0" w:color="auto"/>
            <w:bottom w:val="nil"/>
            <w:right w:val="nil"/>
          </w:tcBorders>
        </w:tcPr>
        <w:p w:rsidR="00287F79" w:rsidRDefault="00287F79" w:rsidP="002343F6">
          <w:pPr>
            <w:spacing w:line="260" w:lineRule="exact"/>
            <w:rPr>
              <w:rFonts w:ascii="FrnkGothITC Bk BT" w:hAnsi="FrnkGothITC Bk BT"/>
              <w:b/>
              <w:i/>
              <w:sz w:val="20"/>
            </w:rPr>
          </w:pPr>
        </w:p>
        <w:p w:rsidR="00287F79" w:rsidRDefault="00287F79" w:rsidP="002343F6">
          <w:pPr>
            <w:spacing w:line="260" w:lineRule="exact"/>
            <w:rPr>
              <w:rFonts w:ascii="FrnkGothITC Bk BT" w:hAnsi="FrnkGothITC Bk BT"/>
              <w:b/>
              <w:i/>
              <w:sz w:val="20"/>
            </w:rPr>
          </w:pPr>
        </w:p>
        <w:p w:rsidR="00287F79" w:rsidRDefault="00287F79" w:rsidP="002343F6">
          <w:pPr>
            <w:spacing w:line="260" w:lineRule="exact"/>
            <w:rPr>
              <w:rFonts w:ascii="FrnkGothITC Bk BT" w:hAnsi="FrnkGothITC Bk BT"/>
              <w:b/>
              <w:i/>
              <w:sz w:val="20"/>
            </w:rPr>
          </w:pPr>
          <w:r>
            <w:rPr>
              <w:rFonts w:ascii="FrnkGothITC Bk BT" w:hAnsi="FrnkGothITC Bk BT"/>
              <w:b/>
              <w:i/>
              <w:sz w:val="20"/>
            </w:rPr>
            <w:t>J</w:t>
          </w:r>
          <w:r w:rsidRPr="00CA4F91">
            <w:rPr>
              <w:rFonts w:ascii="FrnkGothITC Bk BT" w:hAnsi="FrnkGothITC Bk BT"/>
              <w:b/>
              <w:i/>
              <w:sz w:val="20"/>
            </w:rPr>
            <w:t>avna agencija</w:t>
          </w:r>
          <w:r>
            <w:rPr>
              <w:rFonts w:ascii="FrnkGothITC Bk BT" w:hAnsi="FrnkGothITC Bk BT"/>
              <w:b/>
              <w:i/>
              <w:sz w:val="20"/>
            </w:rPr>
            <w:t xml:space="preserve"> </w:t>
          </w:r>
        </w:p>
        <w:p w:rsidR="00287F79" w:rsidRDefault="00287F79" w:rsidP="002343F6">
          <w:pPr>
            <w:spacing w:line="260" w:lineRule="exact"/>
            <w:rPr>
              <w:rFonts w:ascii="FrnkGothITC Bk BT" w:hAnsi="FrnkGothITC Bk BT"/>
              <w:b/>
              <w:i/>
              <w:sz w:val="20"/>
            </w:rPr>
          </w:pPr>
          <w:r w:rsidRPr="00CA4F91">
            <w:rPr>
              <w:rFonts w:ascii="FrnkGothITC Bk BT" w:hAnsi="FrnkGothITC Bk BT"/>
              <w:b/>
              <w:i/>
              <w:sz w:val="20"/>
            </w:rPr>
            <w:t>za železniški promet</w:t>
          </w:r>
          <w:r>
            <w:rPr>
              <w:rFonts w:ascii="FrnkGothITC Bk BT" w:hAnsi="FrnkGothITC Bk BT"/>
              <w:b/>
              <w:i/>
              <w:sz w:val="20"/>
            </w:rPr>
            <w:t xml:space="preserve"> </w:t>
          </w:r>
        </w:p>
        <w:p w:rsidR="00287F79" w:rsidRDefault="00287F79" w:rsidP="002343F6">
          <w:pPr>
            <w:spacing w:line="260" w:lineRule="exact"/>
            <w:rPr>
              <w:rFonts w:ascii="FrnkGothITC Bk BT" w:hAnsi="FrnkGothITC Bk BT"/>
              <w:b/>
              <w:i/>
              <w:sz w:val="20"/>
            </w:rPr>
          </w:pPr>
          <w:r w:rsidRPr="00CA4F91">
            <w:rPr>
              <w:rFonts w:ascii="FrnkGothITC Bk BT" w:hAnsi="FrnkGothITC Bk BT"/>
              <w:b/>
              <w:i/>
              <w:sz w:val="20"/>
            </w:rPr>
            <w:t>Republike Slovenije</w:t>
          </w:r>
        </w:p>
      </w:tc>
      <w:tc>
        <w:tcPr>
          <w:tcW w:w="5382" w:type="dxa"/>
          <w:tcBorders>
            <w:top w:val="nil"/>
            <w:left w:val="nil"/>
            <w:bottom w:val="nil"/>
            <w:right w:val="nil"/>
          </w:tcBorders>
        </w:tcPr>
        <w:p w:rsidR="00287F79" w:rsidRDefault="00287F79" w:rsidP="002343F6">
          <w:pPr>
            <w:spacing w:line="260" w:lineRule="exact"/>
            <w:rPr>
              <w:rFonts w:ascii="FrnkGothITC Bk BT" w:hAnsi="FrnkGothITC Bk BT"/>
              <w:i/>
              <w:sz w:val="18"/>
              <w:szCs w:val="18"/>
            </w:rPr>
          </w:pPr>
        </w:p>
        <w:p w:rsidR="00287F79" w:rsidRPr="0091117E" w:rsidRDefault="00287F79" w:rsidP="002343F6">
          <w:pPr>
            <w:spacing w:line="260" w:lineRule="exact"/>
            <w:rPr>
              <w:rFonts w:ascii="FrnkGothITC Bk BT" w:hAnsi="FrnkGothITC Bk BT"/>
              <w:i/>
              <w:sz w:val="18"/>
              <w:szCs w:val="18"/>
            </w:rPr>
          </w:pPr>
        </w:p>
      </w:tc>
    </w:tr>
  </w:tbl>
  <w:p w:rsidR="00287F79" w:rsidRPr="008A31FC" w:rsidRDefault="00287F79" w:rsidP="008A31FC">
    <w:pPr>
      <w:spacing w:line="260" w:lineRule="exact"/>
      <w:ind w:left="1985"/>
      <w:rPr>
        <w:rFonts w:ascii="FrnkGothITC Bk BT" w:hAnsi="FrnkGothITC Bk BT"/>
        <w:b/>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25AA"/>
    <w:multiLevelType w:val="hybridMultilevel"/>
    <w:tmpl w:val="655AC0C8"/>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0A062A40"/>
    <w:multiLevelType w:val="hybridMultilevel"/>
    <w:tmpl w:val="244E365E"/>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D6C26BF"/>
    <w:multiLevelType w:val="hybridMultilevel"/>
    <w:tmpl w:val="59A68958"/>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EED4BB2"/>
    <w:multiLevelType w:val="hybridMultilevel"/>
    <w:tmpl w:val="52109F5E"/>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12DA6D1F"/>
    <w:multiLevelType w:val="hybridMultilevel"/>
    <w:tmpl w:val="F5044860"/>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15440302"/>
    <w:multiLevelType w:val="hybridMultilevel"/>
    <w:tmpl w:val="41667976"/>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1594048F"/>
    <w:multiLevelType w:val="hybridMultilevel"/>
    <w:tmpl w:val="0D4EAA26"/>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abstractNum w:abstractNumId="7" w15:restartNumberingAfterBreak="0">
    <w:nsid w:val="1679673B"/>
    <w:multiLevelType w:val="hybridMultilevel"/>
    <w:tmpl w:val="1B8E7892"/>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198F3D8D"/>
    <w:multiLevelType w:val="hybridMultilevel"/>
    <w:tmpl w:val="F3AC95F0"/>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1D476F84"/>
    <w:multiLevelType w:val="hybridMultilevel"/>
    <w:tmpl w:val="722C91B4"/>
    <w:lvl w:ilvl="0" w:tplc="06D68D3A">
      <w:numFmt w:val="bullet"/>
      <w:lvlText w:val="-"/>
      <w:lvlJc w:val="left"/>
      <w:pPr>
        <w:tabs>
          <w:tab w:val="num" w:pos="927"/>
        </w:tabs>
        <w:ind w:left="927" w:hanging="360"/>
      </w:pPr>
      <w:rPr>
        <w:rFonts w:ascii="Verdana" w:eastAsia="Times New Roman" w:hAnsi="Verdana" w:hint="default"/>
      </w:rPr>
    </w:lvl>
    <w:lvl w:ilvl="1" w:tplc="04070003">
      <w:start w:val="1"/>
      <w:numFmt w:val="bullet"/>
      <w:lvlText w:val="o"/>
      <w:lvlJc w:val="left"/>
      <w:pPr>
        <w:tabs>
          <w:tab w:val="num" w:pos="1647"/>
        </w:tabs>
        <w:ind w:left="1647" w:hanging="360"/>
      </w:pPr>
      <w:rPr>
        <w:rFonts w:ascii="Courier New" w:hAnsi="Courier New" w:cs="Courier New" w:hint="default"/>
      </w:rPr>
    </w:lvl>
    <w:lvl w:ilvl="2" w:tplc="04070005">
      <w:start w:val="1"/>
      <w:numFmt w:val="bullet"/>
      <w:lvlText w:val=""/>
      <w:lvlJc w:val="left"/>
      <w:pPr>
        <w:tabs>
          <w:tab w:val="num" w:pos="2367"/>
        </w:tabs>
        <w:ind w:left="2367" w:hanging="360"/>
      </w:pPr>
      <w:rPr>
        <w:rFonts w:ascii="Wingdings" w:hAnsi="Wingdings" w:cs="Times New Roman" w:hint="default"/>
      </w:rPr>
    </w:lvl>
    <w:lvl w:ilvl="3" w:tplc="04070001">
      <w:start w:val="1"/>
      <w:numFmt w:val="bullet"/>
      <w:lvlText w:val=""/>
      <w:lvlJc w:val="left"/>
      <w:pPr>
        <w:tabs>
          <w:tab w:val="num" w:pos="3087"/>
        </w:tabs>
        <w:ind w:left="3087" w:hanging="360"/>
      </w:pPr>
      <w:rPr>
        <w:rFonts w:ascii="Symbol" w:hAnsi="Symbol" w:cs="Times New Roman" w:hint="default"/>
      </w:rPr>
    </w:lvl>
    <w:lvl w:ilvl="4" w:tplc="04070003">
      <w:start w:val="1"/>
      <w:numFmt w:val="bullet"/>
      <w:lvlText w:val="o"/>
      <w:lvlJc w:val="left"/>
      <w:pPr>
        <w:tabs>
          <w:tab w:val="num" w:pos="3807"/>
        </w:tabs>
        <w:ind w:left="3807" w:hanging="360"/>
      </w:pPr>
      <w:rPr>
        <w:rFonts w:ascii="Courier New" w:hAnsi="Courier New" w:cs="Courier New" w:hint="default"/>
      </w:rPr>
    </w:lvl>
    <w:lvl w:ilvl="5" w:tplc="04070005">
      <w:start w:val="1"/>
      <w:numFmt w:val="bullet"/>
      <w:lvlText w:val=""/>
      <w:lvlJc w:val="left"/>
      <w:pPr>
        <w:tabs>
          <w:tab w:val="num" w:pos="4527"/>
        </w:tabs>
        <w:ind w:left="4527" w:hanging="360"/>
      </w:pPr>
      <w:rPr>
        <w:rFonts w:ascii="Wingdings" w:hAnsi="Wingdings" w:cs="Times New Roman" w:hint="default"/>
      </w:rPr>
    </w:lvl>
    <w:lvl w:ilvl="6" w:tplc="04070001">
      <w:start w:val="1"/>
      <w:numFmt w:val="bullet"/>
      <w:lvlText w:val=""/>
      <w:lvlJc w:val="left"/>
      <w:pPr>
        <w:tabs>
          <w:tab w:val="num" w:pos="5247"/>
        </w:tabs>
        <w:ind w:left="5247" w:hanging="360"/>
      </w:pPr>
      <w:rPr>
        <w:rFonts w:ascii="Symbol" w:hAnsi="Symbol" w:cs="Times New Roman" w:hint="default"/>
      </w:rPr>
    </w:lvl>
    <w:lvl w:ilvl="7" w:tplc="04070003">
      <w:start w:val="1"/>
      <w:numFmt w:val="bullet"/>
      <w:lvlText w:val="o"/>
      <w:lvlJc w:val="left"/>
      <w:pPr>
        <w:tabs>
          <w:tab w:val="num" w:pos="5967"/>
        </w:tabs>
        <w:ind w:left="5967" w:hanging="360"/>
      </w:pPr>
      <w:rPr>
        <w:rFonts w:ascii="Courier New" w:hAnsi="Courier New" w:cs="Courier New" w:hint="default"/>
      </w:rPr>
    </w:lvl>
    <w:lvl w:ilvl="8" w:tplc="04070005">
      <w:start w:val="1"/>
      <w:numFmt w:val="bullet"/>
      <w:lvlText w:val=""/>
      <w:lvlJc w:val="left"/>
      <w:pPr>
        <w:tabs>
          <w:tab w:val="num" w:pos="6687"/>
        </w:tabs>
        <w:ind w:left="6687" w:hanging="360"/>
      </w:pPr>
      <w:rPr>
        <w:rFonts w:ascii="Wingdings" w:hAnsi="Wingdings" w:cs="Times New Roman" w:hint="default"/>
      </w:rPr>
    </w:lvl>
  </w:abstractNum>
  <w:abstractNum w:abstractNumId="10" w15:restartNumberingAfterBreak="0">
    <w:nsid w:val="22D62DD0"/>
    <w:multiLevelType w:val="hybridMultilevel"/>
    <w:tmpl w:val="671AACCA"/>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237B6F5D"/>
    <w:multiLevelType w:val="hybridMultilevel"/>
    <w:tmpl w:val="41A22E88"/>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25527CE5"/>
    <w:multiLevelType w:val="hybridMultilevel"/>
    <w:tmpl w:val="9E26B79E"/>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26217AEA"/>
    <w:multiLevelType w:val="hybridMultilevel"/>
    <w:tmpl w:val="E4D8E854"/>
    <w:lvl w:ilvl="0" w:tplc="04070001">
      <w:start w:val="1"/>
      <w:numFmt w:val="bullet"/>
      <w:lvlText w:val=""/>
      <w:lvlJc w:val="left"/>
      <w:pPr>
        <w:tabs>
          <w:tab w:val="num" w:pos="960"/>
        </w:tabs>
        <w:ind w:left="960" w:hanging="360"/>
      </w:pPr>
      <w:rPr>
        <w:rFonts w:ascii="Symbol" w:hAnsi="Symbol" w:cs="Times New Roman" w:hint="default"/>
      </w:rPr>
    </w:lvl>
    <w:lvl w:ilvl="1" w:tplc="04070003">
      <w:start w:val="1"/>
      <w:numFmt w:val="bullet"/>
      <w:lvlText w:val="o"/>
      <w:lvlJc w:val="left"/>
      <w:pPr>
        <w:tabs>
          <w:tab w:val="num" w:pos="1680"/>
        </w:tabs>
        <w:ind w:left="1680" w:hanging="360"/>
      </w:pPr>
      <w:rPr>
        <w:rFonts w:ascii="Courier New" w:hAnsi="Courier New" w:cs="Courier New" w:hint="default"/>
      </w:rPr>
    </w:lvl>
    <w:lvl w:ilvl="2" w:tplc="04070005">
      <w:start w:val="1"/>
      <w:numFmt w:val="bullet"/>
      <w:lvlText w:val=""/>
      <w:lvlJc w:val="left"/>
      <w:pPr>
        <w:tabs>
          <w:tab w:val="num" w:pos="2400"/>
        </w:tabs>
        <w:ind w:left="2400" w:hanging="360"/>
      </w:pPr>
      <w:rPr>
        <w:rFonts w:ascii="Wingdings" w:hAnsi="Wingdings" w:cs="Times New Roman" w:hint="default"/>
      </w:rPr>
    </w:lvl>
    <w:lvl w:ilvl="3" w:tplc="04070001">
      <w:start w:val="1"/>
      <w:numFmt w:val="bullet"/>
      <w:lvlText w:val=""/>
      <w:lvlJc w:val="left"/>
      <w:pPr>
        <w:tabs>
          <w:tab w:val="num" w:pos="3120"/>
        </w:tabs>
        <w:ind w:left="3120" w:hanging="360"/>
      </w:pPr>
      <w:rPr>
        <w:rFonts w:ascii="Symbol" w:hAnsi="Symbol" w:cs="Times New Roman" w:hint="default"/>
      </w:rPr>
    </w:lvl>
    <w:lvl w:ilvl="4" w:tplc="04070003">
      <w:start w:val="1"/>
      <w:numFmt w:val="bullet"/>
      <w:lvlText w:val="o"/>
      <w:lvlJc w:val="left"/>
      <w:pPr>
        <w:tabs>
          <w:tab w:val="num" w:pos="3840"/>
        </w:tabs>
        <w:ind w:left="3840" w:hanging="360"/>
      </w:pPr>
      <w:rPr>
        <w:rFonts w:ascii="Courier New" w:hAnsi="Courier New" w:cs="Courier New" w:hint="default"/>
      </w:rPr>
    </w:lvl>
    <w:lvl w:ilvl="5" w:tplc="04070005">
      <w:start w:val="1"/>
      <w:numFmt w:val="bullet"/>
      <w:lvlText w:val=""/>
      <w:lvlJc w:val="left"/>
      <w:pPr>
        <w:tabs>
          <w:tab w:val="num" w:pos="4560"/>
        </w:tabs>
        <w:ind w:left="4560" w:hanging="360"/>
      </w:pPr>
      <w:rPr>
        <w:rFonts w:ascii="Wingdings" w:hAnsi="Wingdings" w:cs="Times New Roman" w:hint="default"/>
      </w:rPr>
    </w:lvl>
    <w:lvl w:ilvl="6" w:tplc="04070001">
      <w:start w:val="1"/>
      <w:numFmt w:val="bullet"/>
      <w:lvlText w:val=""/>
      <w:lvlJc w:val="left"/>
      <w:pPr>
        <w:tabs>
          <w:tab w:val="num" w:pos="5280"/>
        </w:tabs>
        <w:ind w:left="5280" w:hanging="360"/>
      </w:pPr>
      <w:rPr>
        <w:rFonts w:ascii="Symbol" w:hAnsi="Symbol" w:cs="Times New Roman" w:hint="default"/>
      </w:rPr>
    </w:lvl>
    <w:lvl w:ilvl="7" w:tplc="04070003">
      <w:start w:val="1"/>
      <w:numFmt w:val="bullet"/>
      <w:lvlText w:val="o"/>
      <w:lvlJc w:val="left"/>
      <w:pPr>
        <w:tabs>
          <w:tab w:val="num" w:pos="6000"/>
        </w:tabs>
        <w:ind w:left="6000" w:hanging="360"/>
      </w:pPr>
      <w:rPr>
        <w:rFonts w:ascii="Courier New" w:hAnsi="Courier New" w:cs="Courier New" w:hint="default"/>
      </w:rPr>
    </w:lvl>
    <w:lvl w:ilvl="8" w:tplc="04070005">
      <w:start w:val="1"/>
      <w:numFmt w:val="bullet"/>
      <w:lvlText w:val=""/>
      <w:lvlJc w:val="left"/>
      <w:pPr>
        <w:tabs>
          <w:tab w:val="num" w:pos="6720"/>
        </w:tabs>
        <w:ind w:left="6720" w:hanging="360"/>
      </w:pPr>
      <w:rPr>
        <w:rFonts w:ascii="Wingdings" w:hAnsi="Wingdings" w:cs="Times New Roman" w:hint="default"/>
      </w:rPr>
    </w:lvl>
  </w:abstractNum>
  <w:abstractNum w:abstractNumId="14" w15:restartNumberingAfterBreak="0">
    <w:nsid w:val="2735571A"/>
    <w:multiLevelType w:val="hybridMultilevel"/>
    <w:tmpl w:val="2C02C32A"/>
    <w:lvl w:ilvl="0" w:tplc="26DAE9AE">
      <w:start w:val="9"/>
      <w:numFmt w:val="bullet"/>
      <w:lvlText w:val=""/>
      <w:lvlJc w:val="left"/>
      <w:pPr>
        <w:tabs>
          <w:tab w:val="num" w:pos="930"/>
        </w:tabs>
        <w:ind w:left="930" w:hanging="570"/>
      </w:pPr>
      <w:rPr>
        <w:rFonts w:ascii="Wingdings" w:eastAsia="Times New Roman"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28795BC5"/>
    <w:multiLevelType w:val="multilevel"/>
    <w:tmpl w:val="449A3F84"/>
    <w:lvl w:ilvl="0">
      <w:numFmt w:val="bullet"/>
      <w:lvlText w:val=""/>
      <w:lvlJc w:val="left"/>
      <w:pPr>
        <w:tabs>
          <w:tab w:val="num" w:pos="408"/>
        </w:tabs>
        <w:ind w:left="408" w:hanging="360"/>
      </w:pPr>
      <w:rPr>
        <w:rFonts w:ascii="Wingdings" w:eastAsia="Times New Roman" w:hAnsi="Wingdings" w:hint="default"/>
      </w:rPr>
    </w:lvl>
    <w:lvl w:ilvl="1">
      <w:start w:val="1"/>
      <w:numFmt w:val="bullet"/>
      <w:lvlText w:val="o"/>
      <w:lvlJc w:val="left"/>
      <w:pPr>
        <w:tabs>
          <w:tab w:val="num" w:pos="1128"/>
        </w:tabs>
        <w:ind w:left="1128" w:hanging="360"/>
      </w:pPr>
      <w:rPr>
        <w:rFonts w:ascii="Courier New" w:hAnsi="Courier New" w:cs="Courier New" w:hint="default"/>
      </w:rPr>
    </w:lvl>
    <w:lvl w:ilvl="2">
      <w:start w:val="1"/>
      <w:numFmt w:val="bullet"/>
      <w:lvlText w:val=""/>
      <w:lvlJc w:val="left"/>
      <w:pPr>
        <w:tabs>
          <w:tab w:val="num" w:pos="1848"/>
        </w:tabs>
        <w:ind w:left="1848" w:hanging="360"/>
      </w:pPr>
      <w:rPr>
        <w:rFonts w:ascii="Wingdings" w:hAnsi="Wingdings" w:cs="Times New Roman" w:hint="default"/>
      </w:rPr>
    </w:lvl>
    <w:lvl w:ilvl="3">
      <w:start w:val="1"/>
      <w:numFmt w:val="bullet"/>
      <w:lvlText w:val=""/>
      <w:lvlJc w:val="left"/>
      <w:pPr>
        <w:tabs>
          <w:tab w:val="num" w:pos="2568"/>
        </w:tabs>
        <w:ind w:left="2568" w:hanging="360"/>
      </w:pPr>
      <w:rPr>
        <w:rFonts w:ascii="Symbol" w:hAnsi="Symbol" w:cs="Times New Roman" w:hint="default"/>
      </w:rPr>
    </w:lvl>
    <w:lvl w:ilvl="4">
      <w:start w:val="1"/>
      <w:numFmt w:val="bullet"/>
      <w:lvlText w:val="o"/>
      <w:lvlJc w:val="left"/>
      <w:pPr>
        <w:tabs>
          <w:tab w:val="num" w:pos="3288"/>
        </w:tabs>
        <w:ind w:left="3288" w:hanging="360"/>
      </w:pPr>
      <w:rPr>
        <w:rFonts w:ascii="Courier New" w:hAnsi="Courier New" w:cs="Courier New" w:hint="default"/>
      </w:rPr>
    </w:lvl>
    <w:lvl w:ilvl="5">
      <w:start w:val="1"/>
      <w:numFmt w:val="bullet"/>
      <w:lvlText w:val=""/>
      <w:lvlJc w:val="left"/>
      <w:pPr>
        <w:tabs>
          <w:tab w:val="num" w:pos="4008"/>
        </w:tabs>
        <w:ind w:left="4008" w:hanging="360"/>
      </w:pPr>
      <w:rPr>
        <w:rFonts w:ascii="Wingdings" w:hAnsi="Wingdings" w:cs="Times New Roman" w:hint="default"/>
      </w:rPr>
    </w:lvl>
    <w:lvl w:ilvl="6">
      <w:start w:val="1"/>
      <w:numFmt w:val="bullet"/>
      <w:lvlText w:val=""/>
      <w:lvlJc w:val="left"/>
      <w:pPr>
        <w:tabs>
          <w:tab w:val="num" w:pos="4728"/>
        </w:tabs>
        <w:ind w:left="4728" w:hanging="360"/>
      </w:pPr>
      <w:rPr>
        <w:rFonts w:ascii="Symbol" w:hAnsi="Symbol" w:cs="Times New Roman" w:hint="default"/>
      </w:rPr>
    </w:lvl>
    <w:lvl w:ilvl="7">
      <w:start w:val="1"/>
      <w:numFmt w:val="bullet"/>
      <w:lvlText w:val="o"/>
      <w:lvlJc w:val="left"/>
      <w:pPr>
        <w:tabs>
          <w:tab w:val="num" w:pos="5448"/>
        </w:tabs>
        <w:ind w:left="5448" w:hanging="360"/>
      </w:pPr>
      <w:rPr>
        <w:rFonts w:ascii="Courier New" w:hAnsi="Courier New" w:cs="Courier New" w:hint="default"/>
      </w:rPr>
    </w:lvl>
    <w:lvl w:ilvl="8">
      <w:start w:val="1"/>
      <w:numFmt w:val="bullet"/>
      <w:lvlText w:val=""/>
      <w:lvlJc w:val="left"/>
      <w:pPr>
        <w:tabs>
          <w:tab w:val="num" w:pos="6168"/>
        </w:tabs>
        <w:ind w:left="6168" w:hanging="360"/>
      </w:pPr>
      <w:rPr>
        <w:rFonts w:ascii="Wingdings" w:hAnsi="Wingdings" w:cs="Times New Roman" w:hint="default"/>
      </w:rPr>
    </w:lvl>
  </w:abstractNum>
  <w:abstractNum w:abstractNumId="16" w15:restartNumberingAfterBreak="0">
    <w:nsid w:val="28951E41"/>
    <w:multiLevelType w:val="hybridMultilevel"/>
    <w:tmpl w:val="D10C4D5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B72CFB"/>
    <w:multiLevelType w:val="hybridMultilevel"/>
    <w:tmpl w:val="A516C7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09768B"/>
    <w:multiLevelType w:val="hybridMultilevel"/>
    <w:tmpl w:val="2752F1EE"/>
    <w:lvl w:ilvl="0" w:tplc="95AC76C2">
      <w:start w:val="3"/>
      <w:numFmt w:val="decimal"/>
      <w:lvlText w:val="%1."/>
      <w:lvlJc w:val="left"/>
      <w:pPr>
        <w:tabs>
          <w:tab w:val="num" w:pos="720"/>
        </w:tabs>
        <w:ind w:left="720" w:hanging="360"/>
      </w:pPr>
      <w:rPr>
        <w:rFonts w:hint="default"/>
      </w:rPr>
    </w:lvl>
    <w:lvl w:ilvl="1" w:tplc="04070001">
      <w:start w:val="1"/>
      <w:numFmt w:val="bullet"/>
      <w:lvlText w:val=""/>
      <w:lvlJc w:val="left"/>
      <w:pPr>
        <w:tabs>
          <w:tab w:val="num" w:pos="1440"/>
        </w:tabs>
        <w:ind w:left="1440" w:hanging="360"/>
      </w:pPr>
      <w:rPr>
        <w:rFonts w:ascii="Symbol" w:hAnsi="Symbol" w:cs="Times New Roman" w:hint="default"/>
      </w:r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9" w15:restartNumberingAfterBreak="0">
    <w:nsid w:val="30516147"/>
    <w:multiLevelType w:val="hybridMultilevel"/>
    <w:tmpl w:val="6BDA1ADE"/>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31FD7F2A"/>
    <w:multiLevelType w:val="hybridMultilevel"/>
    <w:tmpl w:val="71F8D6A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D5009"/>
    <w:multiLevelType w:val="hybridMultilevel"/>
    <w:tmpl w:val="7018C872"/>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353330B1"/>
    <w:multiLevelType w:val="hybridMultilevel"/>
    <w:tmpl w:val="866EB90E"/>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23" w15:restartNumberingAfterBreak="0">
    <w:nsid w:val="359A01C0"/>
    <w:multiLevelType w:val="hybridMultilevel"/>
    <w:tmpl w:val="A32A0AC2"/>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37E63ACF"/>
    <w:multiLevelType w:val="hybridMultilevel"/>
    <w:tmpl w:val="D8920DCC"/>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38585284"/>
    <w:multiLevelType w:val="hybridMultilevel"/>
    <w:tmpl w:val="CD9EB358"/>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26" w15:restartNumberingAfterBreak="0">
    <w:nsid w:val="38BF2FC4"/>
    <w:multiLevelType w:val="hybridMultilevel"/>
    <w:tmpl w:val="4470D138"/>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3C0D6BF6"/>
    <w:multiLevelType w:val="hybridMultilevel"/>
    <w:tmpl w:val="E5906396"/>
    <w:lvl w:ilvl="0" w:tplc="6062FD38">
      <w:start w:val="3"/>
      <w:numFmt w:val="decimal"/>
      <w:lvlText w:val="%1"/>
      <w:lvlJc w:val="left"/>
      <w:pPr>
        <w:tabs>
          <w:tab w:val="num" w:pos="1273"/>
        </w:tabs>
        <w:ind w:left="1273" w:hanging="564"/>
      </w:pPr>
      <w:rPr>
        <w:rFonts w:hint="default"/>
      </w:rPr>
    </w:lvl>
    <w:lvl w:ilvl="1" w:tplc="04070019">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start w:val="1"/>
      <w:numFmt w:val="decimal"/>
      <w:lvlText w:val="%4."/>
      <w:lvlJc w:val="left"/>
      <w:pPr>
        <w:tabs>
          <w:tab w:val="num" w:pos="3229"/>
        </w:tabs>
        <w:ind w:left="3229" w:hanging="360"/>
      </w:pPr>
    </w:lvl>
    <w:lvl w:ilvl="4" w:tplc="04070019">
      <w:start w:val="1"/>
      <w:numFmt w:val="lowerLetter"/>
      <w:lvlText w:val="%5."/>
      <w:lvlJc w:val="left"/>
      <w:pPr>
        <w:tabs>
          <w:tab w:val="num" w:pos="3949"/>
        </w:tabs>
        <w:ind w:left="3949" w:hanging="360"/>
      </w:pPr>
    </w:lvl>
    <w:lvl w:ilvl="5" w:tplc="0407001B">
      <w:start w:val="1"/>
      <w:numFmt w:val="lowerRoman"/>
      <w:lvlText w:val="%6."/>
      <w:lvlJc w:val="right"/>
      <w:pPr>
        <w:tabs>
          <w:tab w:val="num" w:pos="4669"/>
        </w:tabs>
        <w:ind w:left="4669" w:hanging="180"/>
      </w:pPr>
    </w:lvl>
    <w:lvl w:ilvl="6" w:tplc="0407000F">
      <w:start w:val="1"/>
      <w:numFmt w:val="decimal"/>
      <w:lvlText w:val="%7."/>
      <w:lvlJc w:val="left"/>
      <w:pPr>
        <w:tabs>
          <w:tab w:val="num" w:pos="5389"/>
        </w:tabs>
        <w:ind w:left="5389" w:hanging="360"/>
      </w:pPr>
    </w:lvl>
    <w:lvl w:ilvl="7" w:tplc="04070019">
      <w:start w:val="1"/>
      <w:numFmt w:val="lowerLetter"/>
      <w:lvlText w:val="%8."/>
      <w:lvlJc w:val="left"/>
      <w:pPr>
        <w:tabs>
          <w:tab w:val="num" w:pos="6109"/>
        </w:tabs>
        <w:ind w:left="6109" w:hanging="360"/>
      </w:pPr>
    </w:lvl>
    <w:lvl w:ilvl="8" w:tplc="0407001B">
      <w:start w:val="1"/>
      <w:numFmt w:val="lowerRoman"/>
      <w:lvlText w:val="%9."/>
      <w:lvlJc w:val="right"/>
      <w:pPr>
        <w:tabs>
          <w:tab w:val="num" w:pos="6829"/>
        </w:tabs>
        <w:ind w:left="6829" w:hanging="180"/>
      </w:pPr>
    </w:lvl>
  </w:abstractNum>
  <w:abstractNum w:abstractNumId="28" w15:restartNumberingAfterBreak="0">
    <w:nsid w:val="45E77B83"/>
    <w:multiLevelType w:val="hybridMultilevel"/>
    <w:tmpl w:val="2832921C"/>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9" w15:restartNumberingAfterBreak="0">
    <w:nsid w:val="4CC56ABA"/>
    <w:multiLevelType w:val="hybridMultilevel"/>
    <w:tmpl w:val="6CFC647A"/>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0" w15:restartNumberingAfterBreak="0">
    <w:nsid w:val="4E501765"/>
    <w:multiLevelType w:val="hybridMultilevel"/>
    <w:tmpl w:val="8EC49186"/>
    <w:lvl w:ilvl="0" w:tplc="53C882E2">
      <w:numFmt w:val="bullet"/>
      <w:lvlText w:val="-"/>
      <w:lvlJc w:val="left"/>
      <w:pPr>
        <w:tabs>
          <w:tab w:val="num" w:pos="360"/>
        </w:tabs>
        <w:ind w:left="360" w:hanging="360"/>
      </w:pPr>
      <w:rPr>
        <w:rFonts w:ascii="LTFrutiger Next Regular" w:eastAsia="Times New Roman" w:hAnsi="LTFrutiger Next Regular" w:hint="default"/>
      </w:rPr>
    </w:lvl>
    <w:lvl w:ilvl="1" w:tplc="0C070003">
      <w:start w:val="1"/>
      <w:numFmt w:val="bullet"/>
      <w:lvlText w:val="o"/>
      <w:lvlJc w:val="left"/>
      <w:pPr>
        <w:tabs>
          <w:tab w:val="num" w:pos="732"/>
        </w:tabs>
        <w:ind w:left="732" w:hanging="360"/>
      </w:pPr>
      <w:rPr>
        <w:rFonts w:ascii="Courier New" w:hAnsi="Courier New" w:cs="Courier New" w:hint="default"/>
      </w:rPr>
    </w:lvl>
    <w:lvl w:ilvl="2" w:tplc="0C070005">
      <w:start w:val="1"/>
      <w:numFmt w:val="bullet"/>
      <w:lvlText w:val=""/>
      <w:lvlJc w:val="left"/>
      <w:pPr>
        <w:tabs>
          <w:tab w:val="num" w:pos="1452"/>
        </w:tabs>
        <w:ind w:left="1452" w:hanging="360"/>
      </w:pPr>
      <w:rPr>
        <w:rFonts w:ascii="Wingdings" w:hAnsi="Wingdings" w:cs="Times New Roman" w:hint="default"/>
      </w:rPr>
    </w:lvl>
    <w:lvl w:ilvl="3" w:tplc="0C070001">
      <w:start w:val="1"/>
      <w:numFmt w:val="bullet"/>
      <w:lvlText w:val=""/>
      <w:lvlJc w:val="left"/>
      <w:pPr>
        <w:tabs>
          <w:tab w:val="num" w:pos="2172"/>
        </w:tabs>
        <w:ind w:left="2172" w:hanging="360"/>
      </w:pPr>
      <w:rPr>
        <w:rFonts w:ascii="Symbol" w:hAnsi="Symbol" w:cs="Times New Roman" w:hint="default"/>
      </w:rPr>
    </w:lvl>
    <w:lvl w:ilvl="4" w:tplc="0C070003">
      <w:start w:val="1"/>
      <w:numFmt w:val="bullet"/>
      <w:lvlText w:val="o"/>
      <w:lvlJc w:val="left"/>
      <w:pPr>
        <w:tabs>
          <w:tab w:val="num" w:pos="2892"/>
        </w:tabs>
        <w:ind w:left="2892" w:hanging="360"/>
      </w:pPr>
      <w:rPr>
        <w:rFonts w:ascii="Courier New" w:hAnsi="Courier New" w:cs="Courier New" w:hint="default"/>
      </w:rPr>
    </w:lvl>
    <w:lvl w:ilvl="5" w:tplc="0C070005">
      <w:start w:val="1"/>
      <w:numFmt w:val="bullet"/>
      <w:lvlText w:val=""/>
      <w:lvlJc w:val="left"/>
      <w:pPr>
        <w:tabs>
          <w:tab w:val="num" w:pos="3612"/>
        </w:tabs>
        <w:ind w:left="3612" w:hanging="360"/>
      </w:pPr>
      <w:rPr>
        <w:rFonts w:ascii="Wingdings" w:hAnsi="Wingdings" w:cs="Times New Roman" w:hint="default"/>
      </w:rPr>
    </w:lvl>
    <w:lvl w:ilvl="6" w:tplc="0C070001">
      <w:start w:val="1"/>
      <w:numFmt w:val="bullet"/>
      <w:lvlText w:val=""/>
      <w:lvlJc w:val="left"/>
      <w:pPr>
        <w:tabs>
          <w:tab w:val="num" w:pos="4332"/>
        </w:tabs>
        <w:ind w:left="4332" w:hanging="360"/>
      </w:pPr>
      <w:rPr>
        <w:rFonts w:ascii="Symbol" w:hAnsi="Symbol" w:cs="Times New Roman" w:hint="default"/>
      </w:rPr>
    </w:lvl>
    <w:lvl w:ilvl="7" w:tplc="0C070003">
      <w:start w:val="1"/>
      <w:numFmt w:val="bullet"/>
      <w:lvlText w:val="o"/>
      <w:lvlJc w:val="left"/>
      <w:pPr>
        <w:tabs>
          <w:tab w:val="num" w:pos="5052"/>
        </w:tabs>
        <w:ind w:left="5052" w:hanging="360"/>
      </w:pPr>
      <w:rPr>
        <w:rFonts w:ascii="Courier New" w:hAnsi="Courier New" w:cs="Courier New" w:hint="default"/>
      </w:rPr>
    </w:lvl>
    <w:lvl w:ilvl="8" w:tplc="0C070005">
      <w:start w:val="1"/>
      <w:numFmt w:val="bullet"/>
      <w:lvlText w:val=""/>
      <w:lvlJc w:val="left"/>
      <w:pPr>
        <w:tabs>
          <w:tab w:val="num" w:pos="5772"/>
        </w:tabs>
        <w:ind w:left="5772" w:hanging="360"/>
      </w:pPr>
      <w:rPr>
        <w:rFonts w:ascii="Wingdings" w:hAnsi="Wingdings" w:cs="Times New Roman" w:hint="default"/>
      </w:rPr>
    </w:lvl>
  </w:abstractNum>
  <w:abstractNum w:abstractNumId="31" w15:restartNumberingAfterBreak="0">
    <w:nsid w:val="53DE30C1"/>
    <w:multiLevelType w:val="hybridMultilevel"/>
    <w:tmpl w:val="36AE017E"/>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32" w15:restartNumberingAfterBreak="0">
    <w:nsid w:val="54D230D1"/>
    <w:multiLevelType w:val="hybridMultilevel"/>
    <w:tmpl w:val="0B9CA5D8"/>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abstractNum w:abstractNumId="33" w15:restartNumberingAfterBreak="0">
    <w:nsid w:val="54D81EC8"/>
    <w:multiLevelType w:val="hybridMultilevel"/>
    <w:tmpl w:val="BDF84370"/>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34" w15:restartNumberingAfterBreak="0">
    <w:nsid w:val="555F54BC"/>
    <w:multiLevelType w:val="hybridMultilevel"/>
    <w:tmpl w:val="05FC0C54"/>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abstractNum w:abstractNumId="35" w15:restartNumberingAfterBreak="0">
    <w:nsid w:val="578549C3"/>
    <w:multiLevelType w:val="hybridMultilevel"/>
    <w:tmpl w:val="25C2DA3C"/>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36" w15:restartNumberingAfterBreak="0">
    <w:nsid w:val="596F3646"/>
    <w:multiLevelType w:val="hybridMultilevel"/>
    <w:tmpl w:val="B0564CF6"/>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7" w15:restartNumberingAfterBreak="0">
    <w:nsid w:val="59BC3CAB"/>
    <w:multiLevelType w:val="hybridMultilevel"/>
    <w:tmpl w:val="761EEAB0"/>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38" w15:restartNumberingAfterBreak="0">
    <w:nsid w:val="5A553424"/>
    <w:multiLevelType w:val="hybridMultilevel"/>
    <w:tmpl w:val="449A3F84"/>
    <w:lvl w:ilvl="0" w:tplc="98BA9778">
      <w:numFmt w:val="bullet"/>
      <w:lvlText w:val=""/>
      <w:lvlJc w:val="left"/>
      <w:pPr>
        <w:tabs>
          <w:tab w:val="num" w:pos="502"/>
        </w:tabs>
        <w:ind w:left="502" w:hanging="360"/>
      </w:pPr>
      <w:rPr>
        <w:rFonts w:ascii="Wingdings" w:eastAsia="Times New Roman" w:hAnsi="Wingdings" w:hint="default"/>
      </w:rPr>
    </w:lvl>
    <w:lvl w:ilvl="1" w:tplc="04070003">
      <w:start w:val="1"/>
      <w:numFmt w:val="bullet"/>
      <w:lvlText w:val="o"/>
      <w:lvlJc w:val="left"/>
      <w:pPr>
        <w:tabs>
          <w:tab w:val="num" w:pos="1270"/>
        </w:tabs>
        <w:ind w:left="1270" w:hanging="360"/>
      </w:pPr>
      <w:rPr>
        <w:rFonts w:ascii="Courier New" w:hAnsi="Courier New" w:cs="Courier New" w:hint="default"/>
      </w:rPr>
    </w:lvl>
    <w:lvl w:ilvl="2" w:tplc="04070005">
      <w:start w:val="1"/>
      <w:numFmt w:val="bullet"/>
      <w:lvlText w:val=""/>
      <w:lvlJc w:val="left"/>
      <w:pPr>
        <w:tabs>
          <w:tab w:val="num" w:pos="1990"/>
        </w:tabs>
        <w:ind w:left="1990" w:hanging="360"/>
      </w:pPr>
      <w:rPr>
        <w:rFonts w:ascii="Wingdings" w:hAnsi="Wingdings" w:cs="Times New Roman" w:hint="default"/>
      </w:rPr>
    </w:lvl>
    <w:lvl w:ilvl="3" w:tplc="04070001">
      <w:start w:val="1"/>
      <w:numFmt w:val="bullet"/>
      <w:lvlText w:val=""/>
      <w:lvlJc w:val="left"/>
      <w:pPr>
        <w:tabs>
          <w:tab w:val="num" w:pos="2710"/>
        </w:tabs>
        <w:ind w:left="2710" w:hanging="360"/>
      </w:pPr>
      <w:rPr>
        <w:rFonts w:ascii="Symbol" w:hAnsi="Symbol" w:cs="Times New Roman" w:hint="default"/>
      </w:rPr>
    </w:lvl>
    <w:lvl w:ilvl="4" w:tplc="04070003">
      <w:start w:val="1"/>
      <w:numFmt w:val="bullet"/>
      <w:lvlText w:val="o"/>
      <w:lvlJc w:val="left"/>
      <w:pPr>
        <w:tabs>
          <w:tab w:val="num" w:pos="3430"/>
        </w:tabs>
        <w:ind w:left="3430" w:hanging="360"/>
      </w:pPr>
      <w:rPr>
        <w:rFonts w:ascii="Courier New" w:hAnsi="Courier New" w:cs="Courier New" w:hint="default"/>
      </w:rPr>
    </w:lvl>
    <w:lvl w:ilvl="5" w:tplc="04070005">
      <w:start w:val="1"/>
      <w:numFmt w:val="bullet"/>
      <w:lvlText w:val=""/>
      <w:lvlJc w:val="left"/>
      <w:pPr>
        <w:tabs>
          <w:tab w:val="num" w:pos="4150"/>
        </w:tabs>
        <w:ind w:left="4150" w:hanging="360"/>
      </w:pPr>
      <w:rPr>
        <w:rFonts w:ascii="Wingdings" w:hAnsi="Wingdings" w:cs="Times New Roman" w:hint="default"/>
      </w:rPr>
    </w:lvl>
    <w:lvl w:ilvl="6" w:tplc="04070001">
      <w:start w:val="1"/>
      <w:numFmt w:val="bullet"/>
      <w:lvlText w:val=""/>
      <w:lvlJc w:val="left"/>
      <w:pPr>
        <w:tabs>
          <w:tab w:val="num" w:pos="4870"/>
        </w:tabs>
        <w:ind w:left="4870" w:hanging="360"/>
      </w:pPr>
      <w:rPr>
        <w:rFonts w:ascii="Symbol" w:hAnsi="Symbol" w:cs="Times New Roman" w:hint="default"/>
      </w:rPr>
    </w:lvl>
    <w:lvl w:ilvl="7" w:tplc="04070003">
      <w:start w:val="1"/>
      <w:numFmt w:val="bullet"/>
      <w:lvlText w:val="o"/>
      <w:lvlJc w:val="left"/>
      <w:pPr>
        <w:tabs>
          <w:tab w:val="num" w:pos="5590"/>
        </w:tabs>
        <w:ind w:left="5590" w:hanging="360"/>
      </w:pPr>
      <w:rPr>
        <w:rFonts w:ascii="Courier New" w:hAnsi="Courier New" w:cs="Courier New" w:hint="default"/>
      </w:rPr>
    </w:lvl>
    <w:lvl w:ilvl="8" w:tplc="04070005">
      <w:start w:val="1"/>
      <w:numFmt w:val="bullet"/>
      <w:lvlText w:val=""/>
      <w:lvlJc w:val="left"/>
      <w:pPr>
        <w:tabs>
          <w:tab w:val="num" w:pos="6310"/>
        </w:tabs>
        <w:ind w:left="6310" w:hanging="360"/>
      </w:pPr>
      <w:rPr>
        <w:rFonts w:ascii="Wingdings" w:hAnsi="Wingdings" w:cs="Times New Roman" w:hint="default"/>
      </w:rPr>
    </w:lvl>
  </w:abstractNum>
  <w:abstractNum w:abstractNumId="39" w15:restartNumberingAfterBreak="0">
    <w:nsid w:val="5ADB5611"/>
    <w:multiLevelType w:val="hybridMultilevel"/>
    <w:tmpl w:val="62D88372"/>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abstractNum w:abstractNumId="40" w15:restartNumberingAfterBreak="0">
    <w:nsid w:val="678D6566"/>
    <w:multiLevelType w:val="hybridMultilevel"/>
    <w:tmpl w:val="AA6CA3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CC5FBE"/>
    <w:multiLevelType w:val="hybridMultilevel"/>
    <w:tmpl w:val="1B284648"/>
    <w:lvl w:ilvl="0" w:tplc="04070001">
      <w:start w:val="1"/>
      <w:numFmt w:val="bullet"/>
      <w:lvlText w:val=""/>
      <w:lvlJc w:val="left"/>
      <w:pPr>
        <w:tabs>
          <w:tab w:val="num" w:pos="-708"/>
        </w:tabs>
        <w:ind w:left="-708" w:hanging="360"/>
      </w:pPr>
      <w:rPr>
        <w:rFonts w:ascii="Symbol" w:hAnsi="Symbol" w:hint="default"/>
      </w:rPr>
    </w:lvl>
    <w:lvl w:ilvl="1" w:tplc="04070003" w:tentative="1">
      <w:start w:val="1"/>
      <w:numFmt w:val="bullet"/>
      <w:lvlText w:val="o"/>
      <w:lvlJc w:val="left"/>
      <w:pPr>
        <w:tabs>
          <w:tab w:val="num" w:pos="12"/>
        </w:tabs>
        <w:ind w:left="12" w:hanging="360"/>
      </w:pPr>
      <w:rPr>
        <w:rFonts w:ascii="Courier New" w:hAnsi="Courier New" w:hint="default"/>
      </w:rPr>
    </w:lvl>
    <w:lvl w:ilvl="2" w:tplc="04070005" w:tentative="1">
      <w:start w:val="1"/>
      <w:numFmt w:val="bullet"/>
      <w:lvlText w:val=""/>
      <w:lvlJc w:val="left"/>
      <w:pPr>
        <w:tabs>
          <w:tab w:val="num" w:pos="732"/>
        </w:tabs>
        <w:ind w:left="732" w:hanging="360"/>
      </w:pPr>
      <w:rPr>
        <w:rFonts w:ascii="Wingdings" w:hAnsi="Wingdings" w:hint="default"/>
      </w:rPr>
    </w:lvl>
    <w:lvl w:ilvl="3" w:tplc="04070001" w:tentative="1">
      <w:start w:val="1"/>
      <w:numFmt w:val="bullet"/>
      <w:lvlText w:val=""/>
      <w:lvlJc w:val="left"/>
      <w:pPr>
        <w:tabs>
          <w:tab w:val="num" w:pos="1452"/>
        </w:tabs>
        <w:ind w:left="1452" w:hanging="360"/>
      </w:pPr>
      <w:rPr>
        <w:rFonts w:ascii="Symbol" w:hAnsi="Symbol" w:hint="default"/>
      </w:rPr>
    </w:lvl>
    <w:lvl w:ilvl="4" w:tplc="04070003" w:tentative="1">
      <w:start w:val="1"/>
      <w:numFmt w:val="bullet"/>
      <w:lvlText w:val="o"/>
      <w:lvlJc w:val="left"/>
      <w:pPr>
        <w:tabs>
          <w:tab w:val="num" w:pos="2172"/>
        </w:tabs>
        <w:ind w:left="2172" w:hanging="360"/>
      </w:pPr>
      <w:rPr>
        <w:rFonts w:ascii="Courier New" w:hAnsi="Courier New" w:hint="default"/>
      </w:rPr>
    </w:lvl>
    <w:lvl w:ilvl="5" w:tplc="04070005" w:tentative="1">
      <w:start w:val="1"/>
      <w:numFmt w:val="bullet"/>
      <w:lvlText w:val=""/>
      <w:lvlJc w:val="left"/>
      <w:pPr>
        <w:tabs>
          <w:tab w:val="num" w:pos="2892"/>
        </w:tabs>
        <w:ind w:left="2892" w:hanging="360"/>
      </w:pPr>
      <w:rPr>
        <w:rFonts w:ascii="Wingdings" w:hAnsi="Wingdings" w:hint="default"/>
      </w:rPr>
    </w:lvl>
    <w:lvl w:ilvl="6" w:tplc="04070001" w:tentative="1">
      <w:start w:val="1"/>
      <w:numFmt w:val="bullet"/>
      <w:lvlText w:val=""/>
      <w:lvlJc w:val="left"/>
      <w:pPr>
        <w:tabs>
          <w:tab w:val="num" w:pos="3612"/>
        </w:tabs>
        <w:ind w:left="3612" w:hanging="360"/>
      </w:pPr>
      <w:rPr>
        <w:rFonts w:ascii="Symbol" w:hAnsi="Symbol" w:hint="default"/>
      </w:rPr>
    </w:lvl>
    <w:lvl w:ilvl="7" w:tplc="04070003" w:tentative="1">
      <w:start w:val="1"/>
      <w:numFmt w:val="bullet"/>
      <w:lvlText w:val="o"/>
      <w:lvlJc w:val="left"/>
      <w:pPr>
        <w:tabs>
          <w:tab w:val="num" w:pos="4332"/>
        </w:tabs>
        <w:ind w:left="4332" w:hanging="360"/>
      </w:pPr>
      <w:rPr>
        <w:rFonts w:ascii="Courier New" w:hAnsi="Courier New" w:hint="default"/>
      </w:rPr>
    </w:lvl>
    <w:lvl w:ilvl="8" w:tplc="04070005" w:tentative="1">
      <w:start w:val="1"/>
      <w:numFmt w:val="bullet"/>
      <w:lvlText w:val=""/>
      <w:lvlJc w:val="left"/>
      <w:pPr>
        <w:tabs>
          <w:tab w:val="num" w:pos="5052"/>
        </w:tabs>
        <w:ind w:left="5052" w:hanging="360"/>
      </w:pPr>
      <w:rPr>
        <w:rFonts w:ascii="Wingdings" w:hAnsi="Wingdings" w:hint="default"/>
      </w:rPr>
    </w:lvl>
  </w:abstractNum>
  <w:abstractNum w:abstractNumId="42" w15:restartNumberingAfterBreak="0">
    <w:nsid w:val="73F42662"/>
    <w:multiLevelType w:val="hybridMultilevel"/>
    <w:tmpl w:val="818A27D6"/>
    <w:lvl w:ilvl="0" w:tplc="04070001">
      <w:start w:val="1"/>
      <w:numFmt w:val="bullet"/>
      <w:lvlText w:val=""/>
      <w:lvlJc w:val="left"/>
      <w:pPr>
        <w:tabs>
          <w:tab w:val="num" w:pos="720"/>
        </w:tabs>
        <w:ind w:left="720" w:hanging="360"/>
      </w:pPr>
      <w:rPr>
        <w:rFonts w:ascii="Symbol" w:hAnsi="Symbol"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43" w15:restartNumberingAfterBreak="0">
    <w:nsid w:val="789A72D1"/>
    <w:multiLevelType w:val="hybridMultilevel"/>
    <w:tmpl w:val="9DBA72A8"/>
    <w:lvl w:ilvl="0" w:tplc="00CC1500">
      <w:start w:val="1"/>
      <w:numFmt w:val="lowerLetter"/>
      <w:lvlText w:val="%1)"/>
      <w:lvlJc w:val="left"/>
      <w:pPr>
        <w:tabs>
          <w:tab w:val="num" w:pos="1193"/>
        </w:tabs>
        <w:ind w:left="342"/>
      </w:pPr>
      <w:rPr>
        <w:rFonts w:ascii="Arial" w:hAnsi="Arial" w:cs="Arial" w:hint="default"/>
        <w:b w:val="0"/>
        <w:i w:val="0"/>
        <w:color w:val="auto"/>
        <w:sz w:val="22"/>
        <w:szCs w:val="22"/>
        <w:u w:val="none"/>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44" w15:restartNumberingAfterBreak="0">
    <w:nsid w:val="78BD36BE"/>
    <w:multiLevelType w:val="hybridMultilevel"/>
    <w:tmpl w:val="B878582E"/>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5" w15:restartNumberingAfterBreak="0">
    <w:nsid w:val="7F5110AA"/>
    <w:multiLevelType w:val="hybridMultilevel"/>
    <w:tmpl w:val="20A82B26"/>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D4CA00F6">
      <w:numFmt w:val="bullet"/>
      <w:lvlText w:val="-"/>
      <w:lvlJc w:val="left"/>
      <w:pPr>
        <w:tabs>
          <w:tab w:val="num" w:pos="1800"/>
        </w:tabs>
        <w:ind w:left="1800" w:hanging="360"/>
      </w:pPr>
      <w:rPr>
        <w:rFonts w:ascii="Verdana" w:eastAsia="Times New Roman" w:hAnsi="Verdana"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num w:numId="1">
    <w:abstractNumId w:val="9"/>
  </w:num>
  <w:num w:numId="2">
    <w:abstractNumId w:val="37"/>
  </w:num>
  <w:num w:numId="3">
    <w:abstractNumId w:val="13"/>
  </w:num>
  <w:num w:numId="4">
    <w:abstractNumId w:val="25"/>
  </w:num>
  <w:num w:numId="5">
    <w:abstractNumId w:val="19"/>
  </w:num>
  <w:num w:numId="6">
    <w:abstractNumId w:val="14"/>
  </w:num>
  <w:num w:numId="7">
    <w:abstractNumId w:val="45"/>
  </w:num>
  <w:num w:numId="8">
    <w:abstractNumId w:val="33"/>
  </w:num>
  <w:num w:numId="9">
    <w:abstractNumId w:val="22"/>
  </w:num>
  <w:num w:numId="10">
    <w:abstractNumId w:val="5"/>
  </w:num>
  <w:num w:numId="11">
    <w:abstractNumId w:val="35"/>
  </w:num>
  <w:num w:numId="12">
    <w:abstractNumId w:val="31"/>
  </w:num>
  <w:num w:numId="13">
    <w:abstractNumId w:val="23"/>
  </w:num>
  <w:num w:numId="14">
    <w:abstractNumId w:val="42"/>
  </w:num>
  <w:num w:numId="15">
    <w:abstractNumId w:val="12"/>
  </w:num>
  <w:num w:numId="16">
    <w:abstractNumId w:val="43"/>
    <w:lvlOverride w:ilvl="0">
      <w:startOverride w:val="1"/>
    </w:lvlOverride>
  </w:num>
  <w:num w:numId="17">
    <w:abstractNumId w:val="8"/>
  </w:num>
  <w:num w:numId="18">
    <w:abstractNumId w:val="10"/>
  </w:num>
  <w:num w:numId="19">
    <w:abstractNumId w:val="18"/>
  </w:num>
  <w:num w:numId="20">
    <w:abstractNumId w:val="4"/>
  </w:num>
  <w:num w:numId="21">
    <w:abstractNumId w:val="29"/>
  </w:num>
  <w:num w:numId="22">
    <w:abstractNumId w:val="36"/>
  </w:num>
  <w:num w:numId="23">
    <w:abstractNumId w:val="21"/>
  </w:num>
  <w:num w:numId="24">
    <w:abstractNumId w:val="3"/>
  </w:num>
  <w:num w:numId="25">
    <w:abstractNumId w:val="1"/>
  </w:num>
  <w:num w:numId="26">
    <w:abstractNumId w:val="0"/>
  </w:num>
  <w:num w:numId="27">
    <w:abstractNumId w:val="28"/>
  </w:num>
  <w:num w:numId="28">
    <w:abstractNumId w:val="44"/>
  </w:num>
  <w:num w:numId="29">
    <w:abstractNumId w:val="2"/>
  </w:num>
  <w:num w:numId="30">
    <w:abstractNumId w:val="11"/>
  </w:num>
  <w:num w:numId="31">
    <w:abstractNumId w:val="26"/>
  </w:num>
  <w:num w:numId="32">
    <w:abstractNumId w:val="7"/>
  </w:num>
  <w:num w:numId="33">
    <w:abstractNumId w:val="32"/>
  </w:num>
  <w:num w:numId="34">
    <w:abstractNumId w:val="24"/>
  </w:num>
  <w:num w:numId="35">
    <w:abstractNumId w:val="6"/>
  </w:num>
  <w:num w:numId="36">
    <w:abstractNumId w:val="34"/>
  </w:num>
  <w:num w:numId="37">
    <w:abstractNumId w:val="39"/>
  </w:num>
  <w:num w:numId="38">
    <w:abstractNumId w:val="38"/>
  </w:num>
  <w:num w:numId="39">
    <w:abstractNumId w:val="27"/>
  </w:num>
  <w:num w:numId="40">
    <w:abstractNumId w:val="15"/>
  </w:num>
  <w:num w:numId="41">
    <w:abstractNumId w:val="30"/>
  </w:num>
  <w:num w:numId="42">
    <w:abstractNumId w:val="41"/>
  </w:num>
  <w:num w:numId="43">
    <w:abstractNumId w:val="40"/>
  </w:num>
  <w:num w:numId="44">
    <w:abstractNumId w:val="16"/>
  </w:num>
  <w:num w:numId="45">
    <w:abstractNumId w:val="1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k5uaPfFMOe5KR+7K3FAR3veW3oJNHHHU3ThWVYTRwB4JeEx5crucqhFlC18T35x/yAnd+ONq/QGODJyCAjRHQ==" w:salt="B23Uyuc3YC5UiHeeXpJnzw=="/>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8D3"/>
    <w:rsid w:val="00056B75"/>
    <w:rsid w:val="000C0E27"/>
    <w:rsid w:val="0012626F"/>
    <w:rsid w:val="0014324A"/>
    <w:rsid w:val="0015523C"/>
    <w:rsid w:val="00175293"/>
    <w:rsid w:val="001778D3"/>
    <w:rsid w:val="001F7586"/>
    <w:rsid w:val="002063FB"/>
    <w:rsid w:val="002343F6"/>
    <w:rsid w:val="00237206"/>
    <w:rsid w:val="00242BE3"/>
    <w:rsid w:val="00256164"/>
    <w:rsid w:val="0026103A"/>
    <w:rsid w:val="00287F79"/>
    <w:rsid w:val="00294368"/>
    <w:rsid w:val="002C08D4"/>
    <w:rsid w:val="002E03A8"/>
    <w:rsid w:val="00366A6A"/>
    <w:rsid w:val="003A6325"/>
    <w:rsid w:val="003D79DF"/>
    <w:rsid w:val="003F4FFF"/>
    <w:rsid w:val="003F59E4"/>
    <w:rsid w:val="00402544"/>
    <w:rsid w:val="00463BCA"/>
    <w:rsid w:val="004C2ABA"/>
    <w:rsid w:val="004C5EF0"/>
    <w:rsid w:val="004D18A0"/>
    <w:rsid w:val="004E4E8B"/>
    <w:rsid w:val="004E58A6"/>
    <w:rsid w:val="004E5F30"/>
    <w:rsid w:val="0054676E"/>
    <w:rsid w:val="005C0E60"/>
    <w:rsid w:val="005D2C9D"/>
    <w:rsid w:val="005E5799"/>
    <w:rsid w:val="005F711F"/>
    <w:rsid w:val="00603B74"/>
    <w:rsid w:val="00625BD8"/>
    <w:rsid w:val="00640EB1"/>
    <w:rsid w:val="00651B8A"/>
    <w:rsid w:val="006539CD"/>
    <w:rsid w:val="006A6449"/>
    <w:rsid w:val="006B6D60"/>
    <w:rsid w:val="006E1C57"/>
    <w:rsid w:val="00762BEE"/>
    <w:rsid w:val="007E1940"/>
    <w:rsid w:val="00825A5C"/>
    <w:rsid w:val="008400F3"/>
    <w:rsid w:val="00846456"/>
    <w:rsid w:val="008A31FC"/>
    <w:rsid w:val="008A7D95"/>
    <w:rsid w:val="0090379A"/>
    <w:rsid w:val="00910F82"/>
    <w:rsid w:val="0091117E"/>
    <w:rsid w:val="00935F79"/>
    <w:rsid w:val="0094370F"/>
    <w:rsid w:val="00954222"/>
    <w:rsid w:val="00974F6B"/>
    <w:rsid w:val="0098004A"/>
    <w:rsid w:val="0099610E"/>
    <w:rsid w:val="009D2B37"/>
    <w:rsid w:val="009E0B58"/>
    <w:rsid w:val="00A00335"/>
    <w:rsid w:val="00A661F5"/>
    <w:rsid w:val="00A97AB4"/>
    <w:rsid w:val="00AD29B3"/>
    <w:rsid w:val="00AD7EB1"/>
    <w:rsid w:val="00B25AAF"/>
    <w:rsid w:val="00B358BB"/>
    <w:rsid w:val="00B41732"/>
    <w:rsid w:val="00BA392C"/>
    <w:rsid w:val="00BA5B01"/>
    <w:rsid w:val="00BC7E3E"/>
    <w:rsid w:val="00BD3C26"/>
    <w:rsid w:val="00BE19E3"/>
    <w:rsid w:val="00C04D99"/>
    <w:rsid w:val="00C70F37"/>
    <w:rsid w:val="00C75278"/>
    <w:rsid w:val="00CA4F91"/>
    <w:rsid w:val="00CC40E5"/>
    <w:rsid w:val="00CF0FAA"/>
    <w:rsid w:val="00CF155B"/>
    <w:rsid w:val="00D03F80"/>
    <w:rsid w:val="00D144E4"/>
    <w:rsid w:val="00D610A7"/>
    <w:rsid w:val="00DA5BE2"/>
    <w:rsid w:val="00E01919"/>
    <w:rsid w:val="00E32F6E"/>
    <w:rsid w:val="00E41C18"/>
    <w:rsid w:val="00E87152"/>
    <w:rsid w:val="00E92DCB"/>
    <w:rsid w:val="00EB389E"/>
    <w:rsid w:val="00ED0125"/>
    <w:rsid w:val="00F30D84"/>
    <w:rsid w:val="00F50742"/>
    <w:rsid w:val="00FC00AC"/>
    <w:rsid w:val="00FD7586"/>
    <w:rsid w:val="00FE47CE"/>
    <w:rsid w:val="00FF20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07304"/>
  <w15:chartTrackingRefBased/>
  <w15:docId w15:val="{5126E201-0C3D-4721-A876-46E60754E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6164"/>
    <w:pPr>
      <w:widowControl w:val="0"/>
      <w:tabs>
        <w:tab w:val="left" w:pos="8255"/>
      </w:tabs>
      <w:overflowPunct w:val="0"/>
      <w:autoSpaceDE w:val="0"/>
      <w:autoSpaceDN w:val="0"/>
      <w:adjustRightInd w:val="0"/>
      <w:textAlignment w:val="baseline"/>
    </w:pPr>
    <w:rPr>
      <w:rFonts w:cs="Arial"/>
      <w:sz w:val="22"/>
      <w:szCs w:val="22"/>
      <w:lang w:eastAsia="en-US"/>
    </w:rPr>
  </w:style>
  <w:style w:type="paragraph" w:styleId="Naslov1">
    <w:name w:val="heading 1"/>
    <w:basedOn w:val="Navaden"/>
    <w:next w:val="Navaden"/>
    <w:qFormat/>
    <w:rsid w:val="00256164"/>
    <w:pPr>
      <w:keepNext/>
      <w:outlineLvl w:val="0"/>
    </w:pPr>
    <w:rPr>
      <w:rFonts w:ascii="Times New Roman" w:hAnsi="Times New Roman" w:cs="Times New Roman"/>
    </w:rPr>
  </w:style>
  <w:style w:type="paragraph" w:styleId="Naslov2">
    <w:name w:val="heading 2"/>
    <w:basedOn w:val="Navaden"/>
    <w:next w:val="Navaden"/>
    <w:link w:val="Naslov2Znak"/>
    <w:qFormat/>
    <w:rsid w:val="009D2B37"/>
    <w:pPr>
      <w:keepNext/>
      <w:widowControl/>
      <w:tabs>
        <w:tab w:val="clear" w:pos="8255"/>
      </w:tabs>
      <w:overflowPunct/>
      <w:autoSpaceDE/>
      <w:autoSpaceDN/>
      <w:adjustRightInd/>
      <w:spacing w:before="240" w:after="60" w:line="360" w:lineRule="atLeast"/>
      <w:textAlignment w:val="auto"/>
      <w:outlineLvl w:val="1"/>
    </w:pPr>
    <w:rPr>
      <w:b/>
      <w:bCs/>
      <w:sz w:val="18"/>
      <w:szCs w:val="18"/>
      <w:lang w:val="de-DE" w:eastAsia="de-DE"/>
    </w:rPr>
  </w:style>
  <w:style w:type="paragraph" w:styleId="Naslov3">
    <w:name w:val="heading 3"/>
    <w:basedOn w:val="Navaden"/>
    <w:next w:val="Navaden"/>
    <w:link w:val="Naslov3Znak"/>
    <w:qFormat/>
    <w:rsid w:val="009D2B37"/>
    <w:pPr>
      <w:keepNext/>
      <w:widowControl/>
      <w:tabs>
        <w:tab w:val="clear" w:pos="8255"/>
        <w:tab w:val="left" w:pos="1134"/>
      </w:tabs>
      <w:overflowPunct/>
      <w:autoSpaceDE/>
      <w:autoSpaceDN/>
      <w:adjustRightInd/>
      <w:spacing w:before="240" w:line="300" w:lineRule="atLeast"/>
      <w:textAlignment w:val="auto"/>
      <w:outlineLvl w:val="2"/>
    </w:pPr>
    <w:rPr>
      <w:b/>
      <w:bCs/>
      <w:u w:val="single"/>
      <w:lang w:val="de-DE" w:eastAsia="de-DE"/>
    </w:rPr>
  </w:style>
  <w:style w:type="paragraph" w:styleId="Naslov4">
    <w:name w:val="heading 4"/>
    <w:basedOn w:val="Navaden"/>
    <w:next w:val="Navaden"/>
    <w:link w:val="Naslov4Znak"/>
    <w:qFormat/>
    <w:rsid w:val="009D2B37"/>
    <w:pPr>
      <w:keepNext/>
      <w:widowControl/>
      <w:tabs>
        <w:tab w:val="clear" w:pos="8255"/>
      </w:tabs>
      <w:overflowPunct/>
      <w:autoSpaceDE/>
      <w:autoSpaceDN/>
      <w:adjustRightInd/>
      <w:spacing w:before="240" w:after="60" w:line="360" w:lineRule="atLeast"/>
      <w:textAlignment w:val="auto"/>
      <w:outlineLvl w:val="3"/>
    </w:pPr>
    <w:rPr>
      <w:sz w:val="18"/>
      <w:szCs w:val="18"/>
      <w:lang w:val="de-DE" w:eastAsia="de-DE"/>
    </w:rPr>
  </w:style>
  <w:style w:type="paragraph" w:styleId="Naslov5">
    <w:name w:val="heading 5"/>
    <w:basedOn w:val="Navaden"/>
    <w:next w:val="Navaden"/>
    <w:link w:val="Naslov5Znak"/>
    <w:qFormat/>
    <w:rsid w:val="009D2B37"/>
    <w:pPr>
      <w:widowControl/>
      <w:tabs>
        <w:tab w:val="clear" w:pos="8255"/>
      </w:tabs>
      <w:overflowPunct/>
      <w:autoSpaceDE/>
      <w:autoSpaceDN/>
      <w:adjustRightInd/>
      <w:spacing w:before="240" w:after="60" w:line="360" w:lineRule="atLeast"/>
      <w:textAlignment w:val="auto"/>
      <w:outlineLvl w:val="4"/>
    </w:pPr>
    <w:rPr>
      <w:sz w:val="18"/>
      <w:szCs w:val="18"/>
      <w:lang w:val="de-DE" w:eastAsia="de-DE"/>
    </w:rPr>
  </w:style>
  <w:style w:type="paragraph" w:styleId="Naslov6">
    <w:name w:val="heading 6"/>
    <w:basedOn w:val="Navaden"/>
    <w:next w:val="Navaden"/>
    <w:link w:val="Naslov6Znak"/>
    <w:qFormat/>
    <w:rsid w:val="009D2B37"/>
    <w:pPr>
      <w:widowControl/>
      <w:tabs>
        <w:tab w:val="clear" w:pos="8255"/>
      </w:tabs>
      <w:overflowPunct/>
      <w:autoSpaceDE/>
      <w:autoSpaceDN/>
      <w:adjustRightInd/>
      <w:spacing w:before="240" w:after="60" w:line="360" w:lineRule="atLeast"/>
      <w:textAlignment w:val="auto"/>
      <w:outlineLvl w:val="5"/>
    </w:pPr>
    <w:rPr>
      <w:sz w:val="18"/>
      <w:szCs w:val="18"/>
      <w:lang w:val="de-DE" w:eastAsia="de-DE"/>
    </w:rPr>
  </w:style>
  <w:style w:type="paragraph" w:styleId="Naslov7">
    <w:name w:val="heading 7"/>
    <w:basedOn w:val="Navaden"/>
    <w:next w:val="Navaden"/>
    <w:link w:val="Naslov7Znak"/>
    <w:qFormat/>
    <w:rsid w:val="009D2B37"/>
    <w:pPr>
      <w:widowControl/>
      <w:tabs>
        <w:tab w:val="clear" w:pos="8255"/>
      </w:tabs>
      <w:overflowPunct/>
      <w:autoSpaceDE/>
      <w:autoSpaceDN/>
      <w:adjustRightInd/>
      <w:spacing w:before="240" w:after="60" w:line="360" w:lineRule="atLeast"/>
      <w:textAlignment w:val="auto"/>
      <w:outlineLvl w:val="6"/>
    </w:pPr>
    <w:rPr>
      <w:sz w:val="18"/>
      <w:szCs w:val="18"/>
      <w:lang w:val="de-DE" w:eastAsia="de-DE"/>
    </w:rPr>
  </w:style>
  <w:style w:type="paragraph" w:styleId="Naslov8">
    <w:name w:val="heading 8"/>
    <w:basedOn w:val="Navaden"/>
    <w:next w:val="Navaden"/>
    <w:link w:val="Naslov8Znak"/>
    <w:qFormat/>
    <w:rsid w:val="009D2B37"/>
    <w:pPr>
      <w:widowControl/>
      <w:tabs>
        <w:tab w:val="clear" w:pos="8255"/>
      </w:tabs>
      <w:overflowPunct/>
      <w:autoSpaceDE/>
      <w:autoSpaceDN/>
      <w:adjustRightInd/>
      <w:spacing w:before="240" w:after="60" w:line="360" w:lineRule="atLeast"/>
      <w:textAlignment w:val="auto"/>
      <w:outlineLvl w:val="7"/>
    </w:pPr>
    <w:rPr>
      <w:sz w:val="18"/>
      <w:szCs w:val="18"/>
      <w:lang w:val="de-DE" w:eastAsia="de-DE"/>
    </w:rPr>
  </w:style>
  <w:style w:type="paragraph" w:styleId="Naslov9">
    <w:name w:val="heading 9"/>
    <w:basedOn w:val="Navaden"/>
    <w:next w:val="Navaden"/>
    <w:link w:val="Naslov9Znak"/>
    <w:qFormat/>
    <w:rsid w:val="009D2B37"/>
    <w:pPr>
      <w:widowControl/>
      <w:tabs>
        <w:tab w:val="clear" w:pos="8255"/>
      </w:tabs>
      <w:overflowPunct/>
      <w:autoSpaceDE/>
      <w:autoSpaceDN/>
      <w:adjustRightInd/>
      <w:spacing w:before="240" w:after="60" w:line="360" w:lineRule="atLeast"/>
      <w:textAlignment w:val="auto"/>
      <w:outlineLvl w:val="8"/>
    </w:pPr>
    <w:rPr>
      <w:sz w:val="18"/>
      <w:szCs w:val="18"/>
      <w:lang w:val="de-DE" w:eastAsia="de-D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Hiperpovezava">
    <w:name w:val="Hyperlink"/>
    <w:uiPriority w:val="99"/>
    <w:rsid w:val="002C08D4"/>
    <w:rPr>
      <w:color w:val="0000FF"/>
      <w:u w:val="single"/>
    </w:rPr>
  </w:style>
  <w:style w:type="paragraph" w:customStyle="1" w:styleId="NavadenTimesNewRoman">
    <w:name w:val="Navaden Times New Roman"/>
    <w:basedOn w:val="Navaden"/>
    <w:rPr>
      <w:rFonts w:ascii="Times New Roman" w:hAnsi="Times New Roman" w:cs="Times New Roman"/>
    </w:rPr>
  </w:style>
  <w:style w:type="paragraph" w:styleId="Odstavekseznama">
    <w:name w:val="List Paragraph"/>
    <w:basedOn w:val="Navaden"/>
    <w:uiPriority w:val="34"/>
    <w:qFormat/>
    <w:rsid w:val="00256164"/>
    <w:pPr>
      <w:ind w:left="720"/>
      <w:contextualSpacing/>
    </w:pPr>
  </w:style>
  <w:style w:type="paragraph" w:styleId="Naslov">
    <w:name w:val="Title"/>
    <w:basedOn w:val="Navaden"/>
    <w:next w:val="Navaden"/>
    <w:link w:val="NaslovZnak"/>
    <w:qFormat/>
    <w:rsid w:val="00256164"/>
    <w:pPr>
      <w:spacing w:before="240" w:after="60"/>
      <w:jc w:val="center"/>
      <w:outlineLvl w:val="0"/>
    </w:pPr>
    <w:rPr>
      <w:rFonts w:ascii="Cambria" w:hAnsi="Cambria" w:cs="Times New Roman"/>
      <w:b/>
      <w:bCs/>
      <w:kern w:val="28"/>
      <w:sz w:val="32"/>
      <w:szCs w:val="32"/>
    </w:rPr>
  </w:style>
  <w:style w:type="character" w:customStyle="1" w:styleId="NaslovZnak">
    <w:name w:val="Naslov Znak"/>
    <w:link w:val="Naslov"/>
    <w:rsid w:val="00256164"/>
    <w:rPr>
      <w:rFonts w:ascii="Cambria" w:eastAsia="Times New Roman" w:hAnsi="Cambria" w:cs="Times New Roman"/>
      <w:b/>
      <w:bCs/>
      <w:kern w:val="28"/>
      <w:sz w:val="32"/>
      <w:szCs w:val="32"/>
      <w:lang w:eastAsia="en-US"/>
    </w:rPr>
  </w:style>
  <w:style w:type="paragraph" w:styleId="Podnaslov">
    <w:name w:val="Subtitle"/>
    <w:basedOn w:val="Navaden"/>
    <w:next w:val="Navaden"/>
    <w:link w:val="PodnaslovZnak"/>
    <w:qFormat/>
    <w:rsid w:val="00256164"/>
    <w:pPr>
      <w:spacing w:after="60"/>
      <w:jc w:val="center"/>
      <w:outlineLvl w:val="1"/>
    </w:pPr>
    <w:rPr>
      <w:rFonts w:ascii="Cambria" w:hAnsi="Cambria" w:cs="Times New Roman"/>
      <w:sz w:val="24"/>
      <w:szCs w:val="24"/>
    </w:rPr>
  </w:style>
  <w:style w:type="character" w:customStyle="1" w:styleId="PodnaslovZnak">
    <w:name w:val="Podnaslov Znak"/>
    <w:link w:val="Podnaslov"/>
    <w:rsid w:val="00256164"/>
    <w:rPr>
      <w:rFonts w:ascii="Cambria" w:eastAsia="Times New Roman" w:hAnsi="Cambria" w:cs="Times New Roman"/>
      <w:sz w:val="24"/>
      <w:szCs w:val="24"/>
      <w:lang w:eastAsia="en-US"/>
    </w:rPr>
  </w:style>
  <w:style w:type="character" w:styleId="Krepko">
    <w:name w:val="Strong"/>
    <w:qFormat/>
    <w:rsid w:val="00256164"/>
    <w:rPr>
      <w:b/>
      <w:bCs/>
    </w:rPr>
  </w:style>
  <w:style w:type="paragraph" w:styleId="Brezrazmikov">
    <w:name w:val="No Spacing"/>
    <w:uiPriority w:val="1"/>
    <w:qFormat/>
    <w:rsid w:val="00256164"/>
    <w:pPr>
      <w:widowControl w:val="0"/>
      <w:tabs>
        <w:tab w:val="left" w:pos="8255"/>
      </w:tabs>
      <w:overflowPunct w:val="0"/>
      <w:autoSpaceDE w:val="0"/>
      <w:autoSpaceDN w:val="0"/>
      <w:adjustRightInd w:val="0"/>
      <w:textAlignment w:val="baseline"/>
    </w:pPr>
    <w:rPr>
      <w:rFonts w:cs="Arial"/>
      <w:sz w:val="22"/>
      <w:szCs w:val="22"/>
      <w:lang w:eastAsia="en-US"/>
    </w:rPr>
  </w:style>
  <w:style w:type="character" w:styleId="Poudarek">
    <w:name w:val="Emphasis"/>
    <w:qFormat/>
    <w:rsid w:val="00256164"/>
    <w:rPr>
      <w:i/>
      <w:iCs/>
    </w:rPr>
  </w:style>
  <w:style w:type="character" w:styleId="Neenpoudarek">
    <w:name w:val="Subtle Emphasis"/>
    <w:uiPriority w:val="19"/>
    <w:qFormat/>
    <w:rsid w:val="00256164"/>
    <w:rPr>
      <w:i/>
      <w:iCs/>
      <w:color w:val="808080"/>
    </w:rPr>
  </w:style>
  <w:style w:type="table" w:styleId="Tabelamrea">
    <w:name w:val="Table Grid"/>
    <w:basedOn w:val="Navadnatabela"/>
    <w:rsid w:val="008A3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BE19E3"/>
    <w:rPr>
      <w:color w:val="605E5C"/>
      <w:shd w:val="clear" w:color="auto" w:fill="E1DFDD"/>
    </w:rPr>
  </w:style>
  <w:style w:type="character" w:customStyle="1" w:styleId="Naslov2Znak">
    <w:name w:val="Naslov 2 Znak"/>
    <w:basedOn w:val="Privzetapisavaodstavka"/>
    <w:link w:val="Naslov2"/>
    <w:rsid w:val="009D2B37"/>
    <w:rPr>
      <w:rFonts w:cs="Arial"/>
      <w:b/>
      <w:bCs/>
      <w:sz w:val="18"/>
      <w:szCs w:val="18"/>
      <w:lang w:val="de-DE" w:eastAsia="de-DE"/>
    </w:rPr>
  </w:style>
  <w:style w:type="character" w:customStyle="1" w:styleId="Naslov3Znak">
    <w:name w:val="Naslov 3 Znak"/>
    <w:basedOn w:val="Privzetapisavaodstavka"/>
    <w:link w:val="Naslov3"/>
    <w:rsid w:val="009D2B37"/>
    <w:rPr>
      <w:rFonts w:cs="Arial"/>
      <w:b/>
      <w:bCs/>
      <w:sz w:val="22"/>
      <w:szCs w:val="22"/>
      <w:u w:val="single"/>
      <w:lang w:val="de-DE" w:eastAsia="de-DE"/>
    </w:rPr>
  </w:style>
  <w:style w:type="character" w:customStyle="1" w:styleId="Naslov4Znak">
    <w:name w:val="Naslov 4 Znak"/>
    <w:basedOn w:val="Privzetapisavaodstavka"/>
    <w:link w:val="Naslov4"/>
    <w:rsid w:val="009D2B37"/>
    <w:rPr>
      <w:rFonts w:cs="Arial"/>
      <w:sz w:val="18"/>
      <w:szCs w:val="18"/>
      <w:lang w:val="de-DE" w:eastAsia="de-DE"/>
    </w:rPr>
  </w:style>
  <w:style w:type="character" w:customStyle="1" w:styleId="Naslov5Znak">
    <w:name w:val="Naslov 5 Znak"/>
    <w:basedOn w:val="Privzetapisavaodstavka"/>
    <w:link w:val="Naslov5"/>
    <w:rsid w:val="009D2B37"/>
    <w:rPr>
      <w:rFonts w:cs="Arial"/>
      <w:sz w:val="18"/>
      <w:szCs w:val="18"/>
      <w:lang w:val="de-DE" w:eastAsia="de-DE"/>
    </w:rPr>
  </w:style>
  <w:style w:type="character" w:customStyle="1" w:styleId="Naslov6Znak">
    <w:name w:val="Naslov 6 Znak"/>
    <w:basedOn w:val="Privzetapisavaodstavka"/>
    <w:link w:val="Naslov6"/>
    <w:rsid w:val="009D2B37"/>
    <w:rPr>
      <w:rFonts w:cs="Arial"/>
      <w:sz w:val="18"/>
      <w:szCs w:val="18"/>
      <w:lang w:val="de-DE" w:eastAsia="de-DE"/>
    </w:rPr>
  </w:style>
  <w:style w:type="character" w:customStyle="1" w:styleId="Naslov7Znak">
    <w:name w:val="Naslov 7 Znak"/>
    <w:basedOn w:val="Privzetapisavaodstavka"/>
    <w:link w:val="Naslov7"/>
    <w:rsid w:val="009D2B37"/>
    <w:rPr>
      <w:rFonts w:cs="Arial"/>
      <w:sz w:val="18"/>
      <w:szCs w:val="18"/>
      <w:lang w:val="de-DE" w:eastAsia="de-DE"/>
    </w:rPr>
  </w:style>
  <w:style w:type="character" w:customStyle="1" w:styleId="Naslov8Znak">
    <w:name w:val="Naslov 8 Znak"/>
    <w:basedOn w:val="Privzetapisavaodstavka"/>
    <w:link w:val="Naslov8"/>
    <w:rsid w:val="009D2B37"/>
    <w:rPr>
      <w:rFonts w:cs="Arial"/>
      <w:sz w:val="18"/>
      <w:szCs w:val="18"/>
      <w:lang w:val="de-DE" w:eastAsia="de-DE"/>
    </w:rPr>
  </w:style>
  <w:style w:type="character" w:customStyle="1" w:styleId="Naslov9Znak">
    <w:name w:val="Naslov 9 Znak"/>
    <w:basedOn w:val="Privzetapisavaodstavka"/>
    <w:link w:val="Naslov9"/>
    <w:rsid w:val="009D2B37"/>
    <w:rPr>
      <w:rFonts w:cs="Arial"/>
      <w:sz w:val="18"/>
      <w:szCs w:val="18"/>
      <w:lang w:val="de-DE" w:eastAsia="de-DE"/>
    </w:rPr>
  </w:style>
  <w:style w:type="character" w:styleId="tevilkastrani">
    <w:name w:val="page number"/>
    <w:rsid w:val="009D2B37"/>
    <w:rPr>
      <w:rFonts w:ascii="Verdana" w:hAnsi="Verdana"/>
    </w:rPr>
  </w:style>
  <w:style w:type="paragraph" w:styleId="Telobesedila">
    <w:name w:val="Body Text"/>
    <w:basedOn w:val="Navaden"/>
    <w:link w:val="TelobesedilaZnak"/>
    <w:rsid w:val="009D2B37"/>
    <w:pPr>
      <w:widowControl/>
      <w:tabs>
        <w:tab w:val="clear" w:pos="8255"/>
      </w:tabs>
      <w:overflowPunct/>
      <w:autoSpaceDE/>
      <w:autoSpaceDN/>
      <w:adjustRightInd/>
      <w:spacing w:line="360" w:lineRule="atLeast"/>
      <w:jc w:val="both"/>
      <w:textAlignment w:val="auto"/>
    </w:pPr>
    <w:rPr>
      <w:sz w:val="18"/>
      <w:szCs w:val="18"/>
      <w:lang w:val="de-AT" w:eastAsia="de-DE"/>
    </w:rPr>
  </w:style>
  <w:style w:type="character" w:customStyle="1" w:styleId="TelobesedilaZnak">
    <w:name w:val="Telo besedila Znak"/>
    <w:basedOn w:val="Privzetapisavaodstavka"/>
    <w:link w:val="Telobesedila"/>
    <w:rsid w:val="009D2B37"/>
    <w:rPr>
      <w:rFonts w:cs="Arial"/>
      <w:sz w:val="18"/>
      <w:szCs w:val="18"/>
      <w:lang w:val="de-AT" w:eastAsia="de-DE"/>
    </w:rPr>
  </w:style>
  <w:style w:type="paragraph" w:styleId="Besedilooblaka">
    <w:name w:val="Balloon Text"/>
    <w:basedOn w:val="Navaden"/>
    <w:link w:val="BesedilooblakaZnak"/>
    <w:rsid w:val="009D2B37"/>
    <w:pPr>
      <w:widowControl/>
      <w:tabs>
        <w:tab w:val="clear" w:pos="8255"/>
      </w:tabs>
      <w:overflowPunct/>
      <w:autoSpaceDE/>
      <w:autoSpaceDN/>
      <w:adjustRightInd/>
      <w:spacing w:line="360" w:lineRule="atLeast"/>
      <w:textAlignment w:val="auto"/>
    </w:pPr>
    <w:rPr>
      <w:rFonts w:ascii="Tahoma" w:hAnsi="Tahoma" w:cs="Tahoma"/>
      <w:sz w:val="16"/>
      <w:szCs w:val="16"/>
      <w:lang w:val="de-DE" w:eastAsia="de-DE"/>
    </w:rPr>
  </w:style>
  <w:style w:type="character" w:customStyle="1" w:styleId="BesedilooblakaZnak">
    <w:name w:val="Besedilo oblačka Znak"/>
    <w:basedOn w:val="Privzetapisavaodstavka"/>
    <w:link w:val="Besedilooblaka"/>
    <w:rsid w:val="009D2B37"/>
    <w:rPr>
      <w:rFonts w:ascii="Tahoma" w:hAnsi="Tahoma" w:cs="Tahoma"/>
      <w:sz w:val="16"/>
      <w:szCs w:val="16"/>
      <w:lang w:val="de-DE" w:eastAsia="de-DE"/>
    </w:rPr>
  </w:style>
  <w:style w:type="paragraph" w:customStyle="1" w:styleId="OrtundDatum">
    <w:name w:val="Ort und Datum"/>
    <w:basedOn w:val="Navaden"/>
    <w:rsid w:val="009D2B37"/>
    <w:pPr>
      <w:widowControl/>
      <w:tabs>
        <w:tab w:val="clear" w:pos="8255"/>
      </w:tabs>
      <w:overflowPunct/>
      <w:autoSpaceDE/>
      <w:autoSpaceDN/>
      <w:adjustRightInd/>
      <w:spacing w:line="360" w:lineRule="atLeast"/>
      <w:ind w:left="7144"/>
      <w:textAlignment w:val="auto"/>
    </w:pPr>
    <w:rPr>
      <w:sz w:val="16"/>
      <w:szCs w:val="16"/>
      <w:lang w:val="de-DE" w:eastAsia="de-DE"/>
    </w:rPr>
  </w:style>
  <w:style w:type="paragraph" w:customStyle="1" w:styleId="Default">
    <w:name w:val="Default"/>
    <w:rsid w:val="009D2B37"/>
    <w:pPr>
      <w:autoSpaceDE w:val="0"/>
      <w:autoSpaceDN w:val="0"/>
      <w:adjustRightInd w:val="0"/>
    </w:pPr>
    <w:rPr>
      <w:rFonts w:ascii="TimesNewRoman" w:hAnsi="TimesNewRoman"/>
      <w:lang w:val="de-DE" w:eastAsia="de-DE"/>
    </w:rPr>
  </w:style>
  <w:style w:type="paragraph" w:styleId="Kazalovsebine1">
    <w:name w:val="toc 1"/>
    <w:basedOn w:val="Navaden"/>
    <w:next w:val="Navaden"/>
    <w:autoRedefine/>
    <w:rsid w:val="009D2B37"/>
    <w:pPr>
      <w:widowControl/>
      <w:tabs>
        <w:tab w:val="clear" w:pos="8255"/>
      </w:tabs>
      <w:overflowPunct/>
      <w:autoSpaceDE/>
      <w:autoSpaceDN/>
      <w:adjustRightInd/>
      <w:spacing w:line="360" w:lineRule="atLeast"/>
      <w:textAlignment w:val="auto"/>
    </w:pPr>
    <w:rPr>
      <w:sz w:val="18"/>
      <w:szCs w:val="18"/>
      <w:lang w:val="de-DE" w:eastAsia="de-DE"/>
    </w:rPr>
  </w:style>
  <w:style w:type="paragraph" w:customStyle="1" w:styleId="KopfzeileSeite1Text">
    <w:name w:val="Kopfzeile Seite1 Text"/>
    <w:basedOn w:val="Default"/>
    <w:next w:val="Default"/>
    <w:rsid w:val="009D2B37"/>
    <w:pPr>
      <w:spacing w:before="60" w:after="60"/>
    </w:pPr>
    <w:rPr>
      <w:rFonts w:ascii="TimesNewRoman,Italic" w:hAnsi="TimesNewRoman,Italic"/>
      <w:sz w:val="24"/>
      <w:szCs w:val="24"/>
    </w:rPr>
  </w:style>
  <w:style w:type="paragraph" w:customStyle="1" w:styleId="StandardBrief">
    <w:name w:val="Standard_Brief"/>
    <w:rsid w:val="009D2B37"/>
    <w:pPr>
      <w:tabs>
        <w:tab w:val="right" w:pos="9639"/>
      </w:tabs>
      <w:spacing w:line="290" w:lineRule="atLeast"/>
    </w:pPr>
    <w:rPr>
      <w:rFonts w:cs="Arial"/>
      <w:sz w:val="22"/>
      <w:szCs w:val="22"/>
      <w:lang w:val="de-DE" w:eastAsia="de-DE"/>
    </w:rPr>
  </w:style>
  <w:style w:type="paragraph" w:customStyle="1" w:styleId="51Abs">
    <w:name w:val="51_Abs"/>
    <w:basedOn w:val="Navaden"/>
    <w:rsid w:val="009D2B37"/>
    <w:pPr>
      <w:widowControl/>
      <w:tabs>
        <w:tab w:val="clear" w:pos="8255"/>
      </w:tabs>
      <w:overflowPunct/>
      <w:autoSpaceDE/>
      <w:autoSpaceDN/>
      <w:adjustRightInd/>
      <w:spacing w:before="80" w:line="220" w:lineRule="exact"/>
      <w:ind w:firstLine="397"/>
      <w:jc w:val="both"/>
      <w:textAlignment w:val="auto"/>
    </w:pPr>
    <w:rPr>
      <w:rFonts w:ascii="Times New Roman" w:hAnsi="Times New Roman" w:cs="Times New Roman"/>
      <w:color w:val="000000"/>
      <w:sz w:val="20"/>
      <w:szCs w:val="20"/>
      <w:lang w:val="de-DE" w:eastAsia="de-DE"/>
    </w:rPr>
  </w:style>
  <w:style w:type="paragraph" w:customStyle="1" w:styleId="45UeberschrPara">
    <w:name w:val="45_UeberschrPara"/>
    <w:basedOn w:val="Navaden"/>
    <w:next w:val="51Abs"/>
    <w:rsid w:val="009D2B37"/>
    <w:pPr>
      <w:keepNext/>
      <w:widowControl/>
      <w:tabs>
        <w:tab w:val="clear" w:pos="8255"/>
      </w:tabs>
      <w:overflowPunct/>
      <w:autoSpaceDE/>
      <w:autoSpaceDN/>
      <w:adjustRightInd/>
      <w:spacing w:before="80" w:line="220" w:lineRule="exact"/>
      <w:jc w:val="center"/>
      <w:textAlignment w:val="auto"/>
    </w:pPr>
    <w:rPr>
      <w:rFonts w:ascii="Times New Roman" w:hAnsi="Times New Roman" w:cs="Times New Roman"/>
      <w:b/>
      <w:bCs/>
      <w:color w:val="000000"/>
      <w:sz w:val="20"/>
      <w:szCs w:val="20"/>
      <w:lang w:val="de-DE" w:eastAsia="de-DE"/>
    </w:rPr>
  </w:style>
  <w:style w:type="paragraph" w:customStyle="1" w:styleId="52Ziffere1">
    <w:name w:val="52_Ziffer_e1"/>
    <w:basedOn w:val="Navaden"/>
    <w:rsid w:val="009D2B37"/>
    <w:pPr>
      <w:widowControl/>
      <w:tabs>
        <w:tab w:val="clear" w:pos="8255"/>
        <w:tab w:val="right" w:pos="624"/>
        <w:tab w:val="left" w:pos="680"/>
      </w:tabs>
      <w:overflowPunct/>
      <w:autoSpaceDE/>
      <w:autoSpaceDN/>
      <w:adjustRightInd/>
      <w:spacing w:before="40" w:line="220" w:lineRule="exact"/>
      <w:ind w:left="680" w:hanging="680"/>
      <w:jc w:val="both"/>
      <w:textAlignment w:val="auto"/>
    </w:pPr>
    <w:rPr>
      <w:rFonts w:ascii="Times New Roman" w:hAnsi="Times New Roman" w:cs="Times New Roman"/>
      <w:color w:val="000000"/>
      <w:sz w:val="20"/>
      <w:szCs w:val="20"/>
      <w:lang w:val="de-DE" w:eastAsia="de-DE"/>
    </w:rPr>
  </w:style>
  <w:style w:type="character" w:customStyle="1" w:styleId="991GldSymbol">
    <w:name w:val="991_GldSymbol"/>
    <w:rsid w:val="009D2B37"/>
    <w:rPr>
      <w:b/>
      <w:bCs/>
      <w:color w:val="000000"/>
    </w:rPr>
  </w:style>
  <w:style w:type="paragraph" w:customStyle="1" w:styleId="Formatvorlageberschrift3NichtFett">
    <w:name w:val="Formatvorlage Überschrift 3 + Nicht Fett"/>
    <w:basedOn w:val="Naslov3"/>
    <w:rsid w:val="009D2B37"/>
    <w:pPr>
      <w:tabs>
        <w:tab w:val="left" w:pos="902"/>
      </w:tabs>
      <w:ind w:left="902" w:hanging="902"/>
    </w:pPr>
    <w:rPr>
      <w:b w:val="0"/>
      <w:bCs w:val="0"/>
    </w:rPr>
  </w:style>
  <w:style w:type="paragraph" w:styleId="Kazalovsebine3">
    <w:name w:val="toc 3"/>
    <w:basedOn w:val="Navaden"/>
    <w:next w:val="Navaden"/>
    <w:autoRedefine/>
    <w:rsid w:val="009D2B37"/>
    <w:pPr>
      <w:widowControl/>
      <w:tabs>
        <w:tab w:val="clear" w:pos="8255"/>
      </w:tabs>
      <w:overflowPunct/>
      <w:autoSpaceDE/>
      <w:autoSpaceDN/>
      <w:adjustRightInd/>
      <w:spacing w:line="360" w:lineRule="atLeast"/>
      <w:ind w:left="360"/>
      <w:textAlignment w:val="auto"/>
    </w:pPr>
    <w:rPr>
      <w:sz w:val="18"/>
      <w:szCs w:val="18"/>
      <w:lang w:val="de-DE" w:eastAsia="de-DE"/>
    </w:rPr>
  </w:style>
  <w:style w:type="paragraph" w:styleId="Navadensplet">
    <w:name w:val="Normal (Web)"/>
    <w:basedOn w:val="Navaden"/>
    <w:rsid w:val="009D2B37"/>
    <w:pPr>
      <w:widowControl/>
      <w:tabs>
        <w:tab w:val="clear" w:pos="8255"/>
      </w:tabs>
      <w:overflowPunct/>
      <w:autoSpaceDE/>
      <w:autoSpaceDN/>
      <w:adjustRightInd/>
      <w:spacing w:before="100" w:beforeAutospacing="1" w:after="100" w:afterAutospacing="1"/>
      <w:textAlignment w:val="auto"/>
    </w:pPr>
    <w:rPr>
      <w:rFonts w:eastAsia="Arial Unicode MS" w:cs="Times New Roman"/>
      <w:sz w:val="24"/>
      <w:szCs w:val="24"/>
      <w:lang w:val="en-GB"/>
    </w:rPr>
  </w:style>
  <w:style w:type="paragraph" w:styleId="Kazalovsebine4">
    <w:name w:val="toc 4"/>
    <w:basedOn w:val="Navaden"/>
    <w:next w:val="Navaden"/>
    <w:autoRedefine/>
    <w:rsid w:val="009D2B37"/>
    <w:pPr>
      <w:widowControl/>
      <w:tabs>
        <w:tab w:val="clear" w:pos="8255"/>
      </w:tabs>
      <w:overflowPunct/>
      <w:autoSpaceDE/>
      <w:autoSpaceDN/>
      <w:adjustRightInd/>
      <w:ind w:left="720"/>
      <w:textAlignment w:val="auto"/>
    </w:pPr>
    <w:rPr>
      <w:rFonts w:ascii="Times New Roman" w:hAnsi="Times New Roman" w:cs="Times New Roman"/>
      <w:sz w:val="24"/>
      <w:szCs w:val="24"/>
      <w:lang w:val="de-DE" w:eastAsia="de-DE"/>
    </w:rPr>
  </w:style>
  <w:style w:type="paragraph" w:styleId="Kazalovsebine5">
    <w:name w:val="toc 5"/>
    <w:basedOn w:val="Navaden"/>
    <w:next w:val="Navaden"/>
    <w:autoRedefine/>
    <w:rsid w:val="009D2B37"/>
    <w:pPr>
      <w:widowControl/>
      <w:tabs>
        <w:tab w:val="clear" w:pos="8255"/>
      </w:tabs>
      <w:overflowPunct/>
      <w:autoSpaceDE/>
      <w:autoSpaceDN/>
      <w:adjustRightInd/>
      <w:ind w:left="960"/>
      <w:textAlignment w:val="auto"/>
    </w:pPr>
    <w:rPr>
      <w:rFonts w:ascii="Times New Roman" w:hAnsi="Times New Roman" w:cs="Times New Roman"/>
      <w:sz w:val="24"/>
      <w:szCs w:val="24"/>
      <w:lang w:val="de-DE" w:eastAsia="de-DE"/>
    </w:rPr>
  </w:style>
  <w:style w:type="paragraph" w:styleId="Kazalovsebine2">
    <w:name w:val="toc 2"/>
    <w:basedOn w:val="Navaden"/>
    <w:next w:val="Navaden"/>
    <w:autoRedefine/>
    <w:rsid w:val="009D2B37"/>
    <w:pPr>
      <w:widowControl/>
      <w:tabs>
        <w:tab w:val="clear" w:pos="8255"/>
      </w:tabs>
      <w:overflowPunct/>
      <w:autoSpaceDE/>
      <w:autoSpaceDN/>
      <w:adjustRightInd/>
      <w:ind w:left="240"/>
      <w:textAlignment w:val="auto"/>
    </w:pPr>
    <w:rPr>
      <w:rFonts w:ascii="Times New Roman" w:hAnsi="Times New Roman" w:cs="Times New Roman"/>
      <w:sz w:val="24"/>
      <w:szCs w:val="24"/>
      <w:lang w:val="de-DE" w:eastAsia="de-DE"/>
    </w:rPr>
  </w:style>
  <w:style w:type="paragraph" w:styleId="Telobesedila3">
    <w:name w:val="Body Text 3"/>
    <w:basedOn w:val="Navaden"/>
    <w:link w:val="Telobesedila3Znak"/>
    <w:rsid w:val="009D2B37"/>
    <w:pPr>
      <w:widowControl/>
      <w:tabs>
        <w:tab w:val="clear" w:pos="8255"/>
      </w:tabs>
      <w:overflowPunct/>
      <w:autoSpaceDE/>
      <w:autoSpaceDN/>
      <w:adjustRightInd/>
      <w:spacing w:after="120" w:line="360" w:lineRule="atLeast"/>
      <w:textAlignment w:val="auto"/>
    </w:pPr>
    <w:rPr>
      <w:sz w:val="16"/>
      <w:szCs w:val="16"/>
      <w:lang w:val="de-DE" w:eastAsia="de-DE"/>
    </w:rPr>
  </w:style>
  <w:style w:type="character" w:customStyle="1" w:styleId="Telobesedila3Znak">
    <w:name w:val="Telo besedila 3 Znak"/>
    <w:basedOn w:val="Privzetapisavaodstavka"/>
    <w:link w:val="Telobesedila3"/>
    <w:rsid w:val="009D2B37"/>
    <w:rPr>
      <w:rFonts w:cs="Arial"/>
      <w:sz w:val="16"/>
      <w:szCs w:val="16"/>
      <w:lang w:val="de-DE" w:eastAsia="de-DE"/>
    </w:rPr>
  </w:style>
  <w:style w:type="paragraph" w:customStyle="1" w:styleId="Normalbold">
    <w:name w:val="Normal bold"/>
    <w:basedOn w:val="Navaden"/>
    <w:next w:val="Navaden"/>
    <w:rsid w:val="009D2B37"/>
    <w:pPr>
      <w:widowControl/>
      <w:tabs>
        <w:tab w:val="clear" w:pos="8255"/>
      </w:tabs>
      <w:overflowPunct/>
      <w:autoSpaceDE/>
      <w:autoSpaceDN/>
      <w:adjustRightInd/>
      <w:spacing w:before="100" w:beforeAutospacing="1" w:after="100" w:afterAutospacing="1"/>
      <w:textAlignment w:val="auto"/>
    </w:pPr>
    <w:rPr>
      <w:b/>
      <w:bCs/>
      <w:sz w:val="24"/>
      <w:szCs w:val="24"/>
      <w:lang w:val="en-GB"/>
    </w:rPr>
  </w:style>
  <w:style w:type="character" w:customStyle="1" w:styleId="Komentar-sklic">
    <w:name w:val="Komentar - sklic"/>
    <w:semiHidden/>
    <w:rsid w:val="009D2B37"/>
    <w:rPr>
      <w:sz w:val="16"/>
      <w:szCs w:val="16"/>
    </w:rPr>
  </w:style>
  <w:style w:type="paragraph" w:customStyle="1" w:styleId="Komentar-besedilo">
    <w:name w:val="Komentar - besedilo"/>
    <w:basedOn w:val="Navaden"/>
    <w:semiHidden/>
    <w:rsid w:val="009D2B37"/>
    <w:pPr>
      <w:widowControl/>
      <w:tabs>
        <w:tab w:val="clear" w:pos="8255"/>
      </w:tabs>
      <w:overflowPunct/>
      <w:autoSpaceDE/>
      <w:autoSpaceDN/>
      <w:adjustRightInd/>
      <w:spacing w:line="360" w:lineRule="atLeast"/>
      <w:textAlignment w:val="auto"/>
    </w:pPr>
    <w:rPr>
      <w:sz w:val="20"/>
      <w:szCs w:val="20"/>
      <w:lang w:val="de-DE" w:eastAsia="de-DE"/>
    </w:rPr>
  </w:style>
  <w:style w:type="paragraph" w:customStyle="1" w:styleId="Zadevakomentarja">
    <w:name w:val="Zadeva komentarja"/>
    <w:basedOn w:val="Komentar-besedilo"/>
    <w:next w:val="Komentar-besedilo"/>
    <w:rsid w:val="009D2B37"/>
    <w:rPr>
      <w:b/>
      <w:bCs/>
    </w:rPr>
  </w:style>
  <w:style w:type="paragraph" w:customStyle="1" w:styleId="52Ziffer">
    <w:name w:val="52 Ziffer"/>
    <w:basedOn w:val="Navaden"/>
    <w:rsid w:val="009D2B37"/>
    <w:pPr>
      <w:widowControl/>
      <w:tabs>
        <w:tab w:val="clear" w:pos="8255"/>
        <w:tab w:val="right" w:pos="624"/>
        <w:tab w:val="left" w:pos="680"/>
      </w:tabs>
      <w:overflowPunct/>
      <w:autoSpaceDE/>
      <w:autoSpaceDN/>
      <w:adjustRightInd/>
      <w:spacing w:line="220" w:lineRule="exact"/>
      <w:ind w:left="680" w:hanging="680"/>
      <w:jc w:val="both"/>
      <w:textAlignment w:val="auto"/>
    </w:pPr>
    <w:rPr>
      <w:rFonts w:ascii="Times New Roman" w:hAnsi="Times New Roman" w:cs="Times New Roman"/>
      <w:sz w:val="20"/>
      <w:szCs w:val="20"/>
      <w:lang w:val="de-DE" w:eastAsia="de-DE"/>
    </w:rPr>
  </w:style>
  <w:style w:type="character" w:customStyle="1" w:styleId="hps">
    <w:name w:val="hps"/>
    <w:basedOn w:val="Privzetapisavaodstavka"/>
    <w:rsid w:val="009D2B37"/>
  </w:style>
  <w:style w:type="character" w:customStyle="1" w:styleId="NogaZnak">
    <w:name w:val="Noga Znak"/>
    <w:link w:val="Noga"/>
    <w:uiPriority w:val="99"/>
    <w:rsid w:val="009D2B37"/>
    <w:rPr>
      <w:rFonts w:cs="Arial"/>
      <w:sz w:val="22"/>
      <w:szCs w:val="22"/>
      <w:lang w:eastAsia="en-US"/>
    </w:rPr>
  </w:style>
  <w:style w:type="character" w:customStyle="1" w:styleId="GlavaZnak">
    <w:name w:val="Glava Znak"/>
    <w:link w:val="Glava"/>
    <w:rsid w:val="009D2B37"/>
    <w:rPr>
      <w:rFonts w:cs="Arial"/>
      <w:sz w:val="22"/>
      <w:szCs w:val="22"/>
      <w:lang w:eastAsia="en-US"/>
    </w:rPr>
  </w:style>
  <w:style w:type="paragraph" w:customStyle="1" w:styleId="normal">
    <w:name w:val="normal"/>
    <w:basedOn w:val="Navaden"/>
    <w:rsid w:val="004E5F30"/>
    <w:pPr>
      <w:widowControl/>
      <w:tabs>
        <w:tab w:val="clear" w:pos="8255"/>
      </w:tabs>
      <w:overflowPunct/>
      <w:autoSpaceDE/>
      <w:autoSpaceDN/>
      <w:adjustRightInd/>
      <w:spacing w:before="100" w:beforeAutospacing="1" w:after="100" w:afterAutospacing="1"/>
      <w:textAlignment w:val="auto"/>
    </w:pPr>
    <w:rPr>
      <w:rFonts w:ascii="Times New Roman" w:hAnsi="Times New Roman" w:cs="Times New Roman"/>
      <w:sz w:val="24"/>
      <w:szCs w:val="24"/>
      <w:lang w:eastAsia="sl-SI"/>
    </w:rPr>
  </w:style>
  <w:style w:type="character" w:customStyle="1" w:styleId="super">
    <w:name w:val="super"/>
    <w:basedOn w:val="Privzetapisavaodstavka"/>
    <w:rsid w:val="008400F3"/>
  </w:style>
  <w:style w:type="character" w:customStyle="1" w:styleId="bold">
    <w:name w:val="bold"/>
    <w:basedOn w:val="Privzetapisavaodstavka"/>
    <w:rsid w:val="00974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25334">
      <w:bodyDiv w:val="1"/>
      <w:marLeft w:val="0"/>
      <w:marRight w:val="0"/>
      <w:marTop w:val="0"/>
      <w:marBottom w:val="0"/>
      <w:divBdr>
        <w:top w:val="none" w:sz="0" w:space="0" w:color="auto"/>
        <w:left w:val="none" w:sz="0" w:space="0" w:color="auto"/>
        <w:bottom w:val="none" w:sz="0" w:space="0" w:color="auto"/>
        <w:right w:val="none" w:sz="0" w:space="0" w:color="auto"/>
      </w:divBdr>
    </w:div>
    <w:div w:id="72432392">
      <w:bodyDiv w:val="1"/>
      <w:marLeft w:val="0"/>
      <w:marRight w:val="0"/>
      <w:marTop w:val="0"/>
      <w:marBottom w:val="0"/>
      <w:divBdr>
        <w:top w:val="none" w:sz="0" w:space="0" w:color="auto"/>
        <w:left w:val="none" w:sz="0" w:space="0" w:color="auto"/>
        <w:bottom w:val="none" w:sz="0" w:space="0" w:color="auto"/>
        <w:right w:val="none" w:sz="0" w:space="0" w:color="auto"/>
      </w:divBdr>
    </w:div>
    <w:div w:id="93748461">
      <w:bodyDiv w:val="1"/>
      <w:marLeft w:val="0"/>
      <w:marRight w:val="0"/>
      <w:marTop w:val="0"/>
      <w:marBottom w:val="0"/>
      <w:divBdr>
        <w:top w:val="none" w:sz="0" w:space="0" w:color="auto"/>
        <w:left w:val="none" w:sz="0" w:space="0" w:color="auto"/>
        <w:bottom w:val="none" w:sz="0" w:space="0" w:color="auto"/>
        <w:right w:val="none" w:sz="0" w:space="0" w:color="auto"/>
      </w:divBdr>
    </w:div>
    <w:div w:id="102775353">
      <w:bodyDiv w:val="1"/>
      <w:marLeft w:val="0"/>
      <w:marRight w:val="0"/>
      <w:marTop w:val="0"/>
      <w:marBottom w:val="0"/>
      <w:divBdr>
        <w:top w:val="none" w:sz="0" w:space="0" w:color="auto"/>
        <w:left w:val="none" w:sz="0" w:space="0" w:color="auto"/>
        <w:bottom w:val="none" w:sz="0" w:space="0" w:color="auto"/>
        <w:right w:val="none" w:sz="0" w:space="0" w:color="auto"/>
      </w:divBdr>
    </w:div>
    <w:div w:id="148523475">
      <w:bodyDiv w:val="1"/>
      <w:marLeft w:val="0"/>
      <w:marRight w:val="0"/>
      <w:marTop w:val="0"/>
      <w:marBottom w:val="0"/>
      <w:divBdr>
        <w:top w:val="none" w:sz="0" w:space="0" w:color="auto"/>
        <w:left w:val="none" w:sz="0" w:space="0" w:color="auto"/>
        <w:bottom w:val="none" w:sz="0" w:space="0" w:color="auto"/>
        <w:right w:val="none" w:sz="0" w:space="0" w:color="auto"/>
      </w:divBdr>
    </w:div>
    <w:div w:id="156265341">
      <w:bodyDiv w:val="1"/>
      <w:marLeft w:val="0"/>
      <w:marRight w:val="0"/>
      <w:marTop w:val="0"/>
      <w:marBottom w:val="0"/>
      <w:divBdr>
        <w:top w:val="none" w:sz="0" w:space="0" w:color="auto"/>
        <w:left w:val="none" w:sz="0" w:space="0" w:color="auto"/>
        <w:bottom w:val="none" w:sz="0" w:space="0" w:color="auto"/>
        <w:right w:val="none" w:sz="0" w:space="0" w:color="auto"/>
      </w:divBdr>
    </w:div>
    <w:div w:id="159125292">
      <w:bodyDiv w:val="1"/>
      <w:marLeft w:val="0"/>
      <w:marRight w:val="0"/>
      <w:marTop w:val="0"/>
      <w:marBottom w:val="0"/>
      <w:divBdr>
        <w:top w:val="none" w:sz="0" w:space="0" w:color="auto"/>
        <w:left w:val="none" w:sz="0" w:space="0" w:color="auto"/>
        <w:bottom w:val="none" w:sz="0" w:space="0" w:color="auto"/>
        <w:right w:val="none" w:sz="0" w:space="0" w:color="auto"/>
      </w:divBdr>
    </w:div>
    <w:div w:id="188031921">
      <w:bodyDiv w:val="1"/>
      <w:marLeft w:val="0"/>
      <w:marRight w:val="0"/>
      <w:marTop w:val="0"/>
      <w:marBottom w:val="0"/>
      <w:divBdr>
        <w:top w:val="none" w:sz="0" w:space="0" w:color="auto"/>
        <w:left w:val="none" w:sz="0" w:space="0" w:color="auto"/>
        <w:bottom w:val="none" w:sz="0" w:space="0" w:color="auto"/>
        <w:right w:val="none" w:sz="0" w:space="0" w:color="auto"/>
      </w:divBdr>
    </w:div>
    <w:div w:id="190191398">
      <w:bodyDiv w:val="1"/>
      <w:marLeft w:val="0"/>
      <w:marRight w:val="0"/>
      <w:marTop w:val="0"/>
      <w:marBottom w:val="0"/>
      <w:divBdr>
        <w:top w:val="none" w:sz="0" w:space="0" w:color="auto"/>
        <w:left w:val="none" w:sz="0" w:space="0" w:color="auto"/>
        <w:bottom w:val="none" w:sz="0" w:space="0" w:color="auto"/>
        <w:right w:val="none" w:sz="0" w:space="0" w:color="auto"/>
      </w:divBdr>
    </w:div>
    <w:div w:id="236398804">
      <w:bodyDiv w:val="1"/>
      <w:marLeft w:val="0"/>
      <w:marRight w:val="0"/>
      <w:marTop w:val="0"/>
      <w:marBottom w:val="0"/>
      <w:divBdr>
        <w:top w:val="none" w:sz="0" w:space="0" w:color="auto"/>
        <w:left w:val="none" w:sz="0" w:space="0" w:color="auto"/>
        <w:bottom w:val="none" w:sz="0" w:space="0" w:color="auto"/>
        <w:right w:val="none" w:sz="0" w:space="0" w:color="auto"/>
      </w:divBdr>
    </w:div>
    <w:div w:id="336343906">
      <w:bodyDiv w:val="1"/>
      <w:marLeft w:val="0"/>
      <w:marRight w:val="0"/>
      <w:marTop w:val="0"/>
      <w:marBottom w:val="0"/>
      <w:divBdr>
        <w:top w:val="none" w:sz="0" w:space="0" w:color="auto"/>
        <w:left w:val="none" w:sz="0" w:space="0" w:color="auto"/>
        <w:bottom w:val="none" w:sz="0" w:space="0" w:color="auto"/>
        <w:right w:val="none" w:sz="0" w:space="0" w:color="auto"/>
      </w:divBdr>
    </w:div>
    <w:div w:id="363212246">
      <w:bodyDiv w:val="1"/>
      <w:marLeft w:val="0"/>
      <w:marRight w:val="0"/>
      <w:marTop w:val="0"/>
      <w:marBottom w:val="0"/>
      <w:divBdr>
        <w:top w:val="none" w:sz="0" w:space="0" w:color="auto"/>
        <w:left w:val="none" w:sz="0" w:space="0" w:color="auto"/>
        <w:bottom w:val="none" w:sz="0" w:space="0" w:color="auto"/>
        <w:right w:val="none" w:sz="0" w:space="0" w:color="auto"/>
      </w:divBdr>
    </w:div>
    <w:div w:id="397287959">
      <w:bodyDiv w:val="1"/>
      <w:marLeft w:val="0"/>
      <w:marRight w:val="0"/>
      <w:marTop w:val="0"/>
      <w:marBottom w:val="0"/>
      <w:divBdr>
        <w:top w:val="none" w:sz="0" w:space="0" w:color="auto"/>
        <w:left w:val="none" w:sz="0" w:space="0" w:color="auto"/>
        <w:bottom w:val="none" w:sz="0" w:space="0" w:color="auto"/>
        <w:right w:val="none" w:sz="0" w:space="0" w:color="auto"/>
      </w:divBdr>
    </w:div>
    <w:div w:id="399910967">
      <w:bodyDiv w:val="1"/>
      <w:marLeft w:val="0"/>
      <w:marRight w:val="0"/>
      <w:marTop w:val="0"/>
      <w:marBottom w:val="0"/>
      <w:divBdr>
        <w:top w:val="none" w:sz="0" w:space="0" w:color="auto"/>
        <w:left w:val="none" w:sz="0" w:space="0" w:color="auto"/>
        <w:bottom w:val="none" w:sz="0" w:space="0" w:color="auto"/>
        <w:right w:val="none" w:sz="0" w:space="0" w:color="auto"/>
      </w:divBdr>
    </w:div>
    <w:div w:id="434331761">
      <w:bodyDiv w:val="1"/>
      <w:marLeft w:val="0"/>
      <w:marRight w:val="0"/>
      <w:marTop w:val="0"/>
      <w:marBottom w:val="0"/>
      <w:divBdr>
        <w:top w:val="none" w:sz="0" w:space="0" w:color="auto"/>
        <w:left w:val="none" w:sz="0" w:space="0" w:color="auto"/>
        <w:bottom w:val="none" w:sz="0" w:space="0" w:color="auto"/>
        <w:right w:val="none" w:sz="0" w:space="0" w:color="auto"/>
      </w:divBdr>
    </w:div>
    <w:div w:id="438918161">
      <w:bodyDiv w:val="1"/>
      <w:marLeft w:val="0"/>
      <w:marRight w:val="0"/>
      <w:marTop w:val="0"/>
      <w:marBottom w:val="0"/>
      <w:divBdr>
        <w:top w:val="none" w:sz="0" w:space="0" w:color="auto"/>
        <w:left w:val="none" w:sz="0" w:space="0" w:color="auto"/>
        <w:bottom w:val="none" w:sz="0" w:space="0" w:color="auto"/>
        <w:right w:val="none" w:sz="0" w:space="0" w:color="auto"/>
      </w:divBdr>
    </w:div>
    <w:div w:id="552036410">
      <w:bodyDiv w:val="1"/>
      <w:marLeft w:val="0"/>
      <w:marRight w:val="0"/>
      <w:marTop w:val="0"/>
      <w:marBottom w:val="0"/>
      <w:divBdr>
        <w:top w:val="none" w:sz="0" w:space="0" w:color="auto"/>
        <w:left w:val="none" w:sz="0" w:space="0" w:color="auto"/>
        <w:bottom w:val="none" w:sz="0" w:space="0" w:color="auto"/>
        <w:right w:val="none" w:sz="0" w:space="0" w:color="auto"/>
      </w:divBdr>
    </w:div>
    <w:div w:id="552885126">
      <w:bodyDiv w:val="1"/>
      <w:marLeft w:val="0"/>
      <w:marRight w:val="0"/>
      <w:marTop w:val="0"/>
      <w:marBottom w:val="0"/>
      <w:divBdr>
        <w:top w:val="none" w:sz="0" w:space="0" w:color="auto"/>
        <w:left w:val="none" w:sz="0" w:space="0" w:color="auto"/>
        <w:bottom w:val="none" w:sz="0" w:space="0" w:color="auto"/>
        <w:right w:val="none" w:sz="0" w:space="0" w:color="auto"/>
      </w:divBdr>
    </w:div>
    <w:div w:id="592514758">
      <w:bodyDiv w:val="1"/>
      <w:marLeft w:val="0"/>
      <w:marRight w:val="0"/>
      <w:marTop w:val="0"/>
      <w:marBottom w:val="0"/>
      <w:divBdr>
        <w:top w:val="none" w:sz="0" w:space="0" w:color="auto"/>
        <w:left w:val="none" w:sz="0" w:space="0" w:color="auto"/>
        <w:bottom w:val="none" w:sz="0" w:space="0" w:color="auto"/>
        <w:right w:val="none" w:sz="0" w:space="0" w:color="auto"/>
      </w:divBdr>
    </w:div>
    <w:div w:id="597443910">
      <w:bodyDiv w:val="1"/>
      <w:marLeft w:val="0"/>
      <w:marRight w:val="0"/>
      <w:marTop w:val="0"/>
      <w:marBottom w:val="0"/>
      <w:divBdr>
        <w:top w:val="none" w:sz="0" w:space="0" w:color="auto"/>
        <w:left w:val="none" w:sz="0" w:space="0" w:color="auto"/>
        <w:bottom w:val="none" w:sz="0" w:space="0" w:color="auto"/>
        <w:right w:val="none" w:sz="0" w:space="0" w:color="auto"/>
      </w:divBdr>
    </w:div>
    <w:div w:id="671105946">
      <w:bodyDiv w:val="1"/>
      <w:marLeft w:val="0"/>
      <w:marRight w:val="0"/>
      <w:marTop w:val="0"/>
      <w:marBottom w:val="0"/>
      <w:divBdr>
        <w:top w:val="none" w:sz="0" w:space="0" w:color="auto"/>
        <w:left w:val="none" w:sz="0" w:space="0" w:color="auto"/>
        <w:bottom w:val="none" w:sz="0" w:space="0" w:color="auto"/>
        <w:right w:val="none" w:sz="0" w:space="0" w:color="auto"/>
      </w:divBdr>
    </w:div>
    <w:div w:id="698358847">
      <w:bodyDiv w:val="1"/>
      <w:marLeft w:val="0"/>
      <w:marRight w:val="0"/>
      <w:marTop w:val="0"/>
      <w:marBottom w:val="0"/>
      <w:divBdr>
        <w:top w:val="none" w:sz="0" w:space="0" w:color="auto"/>
        <w:left w:val="none" w:sz="0" w:space="0" w:color="auto"/>
        <w:bottom w:val="none" w:sz="0" w:space="0" w:color="auto"/>
        <w:right w:val="none" w:sz="0" w:space="0" w:color="auto"/>
      </w:divBdr>
    </w:div>
    <w:div w:id="700667421">
      <w:bodyDiv w:val="1"/>
      <w:marLeft w:val="0"/>
      <w:marRight w:val="0"/>
      <w:marTop w:val="0"/>
      <w:marBottom w:val="0"/>
      <w:divBdr>
        <w:top w:val="none" w:sz="0" w:space="0" w:color="auto"/>
        <w:left w:val="none" w:sz="0" w:space="0" w:color="auto"/>
        <w:bottom w:val="none" w:sz="0" w:space="0" w:color="auto"/>
        <w:right w:val="none" w:sz="0" w:space="0" w:color="auto"/>
      </w:divBdr>
    </w:div>
    <w:div w:id="722145224">
      <w:bodyDiv w:val="1"/>
      <w:marLeft w:val="0"/>
      <w:marRight w:val="0"/>
      <w:marTop w:val="0"/>
      <w:marBottom w:val="0"/>
      <w:divBdr>
        <w:top w:val="none" w:sz="0" w:space="0" w:color="auto"/>
        <w:left w:val="none" w:sz="0" w:space="0" w:color="auto"/>
        <w:bottom w:val="none" w:sz="0" w:space="0" w:color="auto"/>
        <w:right w:val="none" w:sz="0" w:space="0" w:color="auto"/>
      </w:divBdr>
    </w:div>
    <w:div w:id="726686105">
      <w:bodyDiv w:val="1"/>
      <w:marLeft w:val="0"/>
      <w:marRight w:val="0"/>
      <w:marTop w:val="0"/>
      <w:marBottom w:val="0"/>
      <w:divBdr>
        <w:top w:val="none" w:sz="0" w:space="0" w:color="auto"/>
        <w:left w:val="none" w:sz="0" w:space="0" w:color="auto"/>
        <w:bottom w:val="none" w:sz="0" w:space="0" w:color="auto"/>
        <w:right w:val="none" w:sz="0" w:space="0" w:color="auto"/>
      </w:divBdr>
    </w:div>
    <w:div w:id="780223506">
      <w:bodyDiv w:val="1"/>
      <w:marLeft w:val="0"/>
      <w:marRight w:val="0"/>
      <w:marTop w:val="0"/>
      <w:marBottom w:val="0"/>
      <w:divBdr>
        <w:top w:val="none" w:sz="0" w:space="0" w:color="auto"/>
        <w:left w:val="none" w:sz="0" w:space="0" w:color="auto"/>
        <w:bottom w:val="none" w:sz="0" w:space="0" w:color="auto"/>
        <w:right w:val="none" w:sz="0" w:space="0" w:color="auto"/>
      </w:divBdr>
    </w:div>
    <w:div w:id="791899373">
      <w:bodyDiv w:val="1"/>
      <w:marLeft w:val="0"/>
      <w:marRight w:val="0"/>
      <w:marTop w:val="0"/>
      <w:marBottom w:val="0"/>
      <w:divBdr>
        <w:top w:val="none" w:sz="0" w:space="0" w:color="auto"/>
        <w:left w:val="none" w:sz="0" w:space="0" w:color="auto"/>
        <w:bottom w:val="none" w:sz="0" w:space="0" w:color="auto"/>
        <w:right w:val="none" w:sz="0" w:space="0" w:color="auto"/>
      </w:divBdr>
    </w:div>
    <w:div w:id="838348311">
      <w:bodyDiv w:val="1"/>
      <w:marLeft w:val="0"/>
      <w:marRight w:val="0"/>
      <w:marTop w:val="0"/>
      <w:marBottom w:val="0"/>
      <w:divBdr>
        <w:top w:val="none" w:sz="0" w:space="0" w:color="auto"/>
        <w:left w:val="none" w:sz="0" w:space="0" w:color="auto"/>
        <w:bottom w:val="none" w:sz="0" w:space="0" w:color="auto"/>
        <w:right w:val="none" w:sz="0" w:space="0" w:color="auto"/>
      </w:divBdr>
    </w:div>
    <w:div w:id="841744827">
      <w:bodyDiv w:val="1"/>
      <w:marLeft w:val="0"/>
      <w:marRight w:val="0"/>
      <w:marTop w:val="0"/>
      <w:marBottom w:val="0"/>
      <w:divBdr>
        <w:top w:val="none" w:sz="0" w:space="0" w:color="auto"/>
        <w:left w:val="none" w:sz="0" w:space="0" w:color="auto"/>
        <w:bottom w:val="none" w:sz="0" w:space="0" w:color="auto"/>
        <w:right w:val="none" w:sz="0" w:space="0" w:color="auto"/>
      </w:divBdr>
    </w:div>
    <w:div w:id="879047377">
      <w:bodyDiv w:val="1"/>
      <w:marLeft w:val="0"/>
      <w:marRight w:val="0"/>
      <w:marTop w:val="0"/>
      <w:marBottom w:val="0"/>
      <w:divBdr>
        <w:top w:val="none" w:sz="0" w:space="0" w:color="auto"/>
        <w:left w:val="none" w:sz="0" w:space="0" w:color="auto"/>
        <w:bottom w:val="none" w:sz="0" w:space="0" w:color="auto"/>
        <w:right w:val="none" w:sz="0" w:space="0" w:color="auto"/>
      </w:divBdr>
    </w:div>
    <w:div w:id="930699759">
      <w:bodyDiv w:val="1"/>
      <w:marLeft w:val="0"/>
      <w:marRight w:val="0"/>
      <w:marTop w:val="0"/>
      <w:marBottom w:val="0"/>
      <w:divBdr>
        <w:top w:val="none" w:sz="0" w:space="0" w:color="auto"/>
        <w:left w:val="none" w:sz="0" w:space="0" w:color="auto"/>
        <w:bottom w:val="none" w:sz="0" w:space="0" w:color="auto"/>
        <w:right w:val="none" w:sz="0" w:space="0" w:color="auto"/>
      </w:divBdr>
    </w:div>
    <w:div w:id="944772180">
      <w:bodyDiv w:val="1"/>
      <w:marLeft w:val="0"/>
      <w:marRight w:val="0"/>
      <w:marTop w:val="0"/>
      <w:marBottom w:val="0"/>
      <w:divBdr>
        <w:top w:val="none" w:sz="0" w:space="0" w:color="auto"/>
        <w:left w:val="none" w:sz="0" w:space="0" w:color="auto"/>
        <w:bottom w:val="none" w:sz="0" w:space="0" w:color="auto"/>
        <w:right w:val="none" w:sz="0" w:space="0" w:color="auto"/>
      </w:divBdr>
    </w:div>
    <w:div w:id="1012531678">
      <w:bodyDiv w:val="1"/>
      <w:marLeft w:val="0"/>
      <w:marRight w:val="0"/>
      <w:marTop w:val="0"/>
      <w:marBottom w:val="0"/>
      <w:divBdr>
        <w:top w:val="none" w:sz="0" w:space="0" w:color="auto"/>
        <w:left w:val="none" w:sz="0" w:space="0" w:color="auto"/>
        <w:bottom w:val="none" w:sz="0" w:space="0" w:color="auto"/>
        <w:right w:val="none" w:sz="0" w:space="0" w:color="auto"/>
      </w:divBdr>
    </w:div>
    <w:div w:id="1018430047">
      <w:bodyDiv w:val="1"/>
      <w:marLeft w:val="0"/>
      <w:marRight w:val="0"/>
      <w:marTop w:val="0"/>
      <w:marBottom w:val="0"/>
      <w:divBdr>
        <w:top w:val="none" w:sz="0" w:space="0" w:color="auto"/>
        <w:left w:val="none" w:sz="0" w:space="0" w:color="auto"/>
        <w:bottom w:val="none" w:sz="0" w:space="0" w:color="auto"/>
        <w:right w:val="none" w:sz="0" w:space="0" w:color="auto"/>
      </w:divBdr>
    </w:div>
    <w:div w:id="1084452122">
      <w:bodyDiv w:val="1"/>
      <w:marLeft w:val="0"/>
      <w:marRight w:val="0"/>
      <w:marTop w:val="0"/>
      <w:marBottom w:val="0"/>
      <w:divBdr>
        <w:top w:val="none" w:sz="0" w:space="0" w:color="auto"/>
        <w:left w:val="none" w:sz="0" w:space="0" w:color="auto"/>
        <w:bottom w:val="none" w:sz="0" w:space="0" w:color="auto"/>
        <w:right w:val="none" w:sz="0" w:space="0" w:color="auto"/>
      </w:divBdr>
    </w:div>
    <w:div w:id="1125395336">
      <w:bodyDiv w:val="1"/>
      <w:marLeft w:val="0"/>
      <w:marRight w:val="0"/>
      <w:marTop w:val="0"/>
      <w:marBottom w:val="0"/>
      <w:divBdr>
        <w:top w:val="none" w:sz="0" w:space="0" w:color="auto"/>
        <w:left w:val="none" w:sz="0" w:space="0" w:color="auto"/>
        <w:bottom w:val="none" w:sz="0" w:space="0" w:color="auto"/>
        <w:right w:val="none" w:sz="0" w:space="0" w:color="auto"/>
      </w:divBdr>
    </w:div>
    <w:div w:id="1164050683">
      <w:bodyDiv w:val="1"/>
      <w:marLeft w:val="0"/>
      <w:marRight w:val="0"/>
      <w:marTop w:val="0"/>
      <w:marBottom w:val="0"/>
      <w:divBdr>
        <w:top w:val="none" w:sz="0" w:space="0" w:color="auto"/>
        <w:left w:val="none" w:sz="0" w:space="0" w:color="auto"/>
        <w:bottom w:val="none" w:sz="0" w:space="0" w:color="auto"/>
        <w:right w:val="none" w:sz="0" w:space="0" w:color="auto"/>
      </w:divBdr>
    </w:div>
    <w:div w:id="1166898328">
      <w:bodyDiv w:val="1"/>
      <w:marLeft w:val="0"/>
      <w:marRight w:val="0"/>
      <w:marTop w:val="0"/>
      <w:marBottom w:val="0"/>
      <w:divBdr>
        <w:top w:val="none" w:sz="0" w:space="0" w:color="auto"/>
        <w:left w:val="none" w:sz="0" w:space="0" w:color="auto"/>
        <w:bottom w:val="none" w:sz="0" w:space="0" w:color="auto"/>
        <w:right w:val="none" w:sz="0" w:space="0" w:color="auto"/>
      </w:divBdr>
    </w:div>
    <w:div w:id="1176457044">
      <w:bodyDiv w:val="1"/>
      <w:marLeft w:val="0"/>
      <w:marRight w:val="0"/>
      <w:marTop w:val="0"/>
      <w:marBottom w:val="0"/>
      <w:divBdr>
        <w:top w:val="none" w:sz="0" w:space="0" w:color="auto"/>
        <w:left w:val="none" w:sz="0" w:space="0" w:color="auto"/>
        <w:bottom w:val="none" w:sz="0" w:space="0" w:color="auto"/>
        <w:right w:val="none" w:sz="0" w:space="0" w:color="auto"/>
      </w:divBdr>
    </w:div>
    <w:div w:id="1181898210">
      <w:bodyDiv w:val="1"/>
      <w:marLeft w:val="0"/>
      <w:marRight w:val="0"/>
      <w:marTop w:val="0"/>
      <w:marBottom w:val="0"/>
      <w:divBdr>
        <w:top w:val="none" w:sz="0" w:space="0" w:color="auto"/>
        <w:left w:val="none" w:sz="0" w:space="0" w:color="auto"/>
        <w:bottom w:val="none" w:sz="0" w:space="0" w:color="auto"/>
        <w:right w:val="none" w:sz="0" w:space="0" w:color="auto"/>
      </w:divBdr>
    </w:div>
    <w:div w:id="1426539923">
      <w:bodyDiv w:val="1"/>
      <w:marLeft w:val="0"/>
      <w:marRight w:val="0"/>
      <w:marTop w:val="0"/>
      <w:marBottom w:val="0"/>
      <w:divBdr>
        <w:top w:val="none" w:sz="0" w:space="0" w:color="auto"/>
        <w:left w:val="none" w:sz="0" w:space="0" w:color="auto"/>
        <w:bottom w:val="none" w:sz="0" w:space="0" w:color="auto"/>
        <w:right w:val="none" w:sz="0" w:space="0" w:color="auto"/>
      </w:divBdr>
    </w:div>
    <w:div w:id="1454665094">
      <w:bodyDiv w:val="1"/>
      <w:marLeft w:val="0"/>
      <w:marRight w:val="0"/>
      <w:marTop w:val="0"/>
      <w:marBottom w:val="0"/>
      <w:divBdr>
        <w:top w:val="none" w:sz="0" w:space="0" w:color="auto"/>
        <w:left w:val="none" w:sz="0" w:space="0" w:color="auto"/>
        <w:bottom w:val="none" w:sz="0" w:space="0" w:color="auto"/>
        <w:right w:val="none" w:sz="0" w:space="0" w:color="auto"/>
      </w:divBdr>
    </w:div>
    <w:div w:id="1469978574">
      <w:bodyDiv w:val="1"/>
      <w:marLeft w:val="0"/>
      <w:marRight w:val="0"/>
      <w:marTop w:val="0"/>
      <w:marBottom w:val="0"/>
      <w:divBdr>
        <w:top w:val="none" w:sz="0" w:space="0" w:color="auto"/>
        <w:left w:val="none" w:sz="0" w:space="0" w:color="auto"/>
        <w:bottom w:val="none" w:sz="0" w:space="0" w:color="auto"/>
        <w:right w:val="none" w:sz="0" w:space="0" w:color="auto"/>
      </w:divBdr>
    </w:div>
    <w:div w:id="1508982852">
      <w:bodyDiv w:val="1"/>
      <w:marLeft w:val="0"/>
      <w:marRight w:val="0"/>
      <w:marTop w:val="0"/>
      <w:marBottom w:val="0"/>
      <w:divBdr>
        <w:top w:val="none" w:sz="0" w:space="0" w:color="auto"/>
        <w:left w:val="none" w:sz="0" w:space="0" w:color="auto"/>
        <w:bottom w:val="none" w:sz="0" w:space="0" w:color="auto"/>
        <w:right w:val="none" w:sz="0" w:space="0" w:color="auto"/>
      </w:divBdr>
    </w:div>
    <w:div w:id="1616790267">
      <w:bodyDiv w:val="1"/>
      <w:marLeft w:val="0"/>
      <w:marRight w:val="0"/>
      <w:marTop w:val="0"/>
      <w:marBottom w:val="0"/>
      <w:divBdr>
        <w:top w:val="none" w:sz="0" w:space="0" w:color="auto"/>
        <w:left w:val="none" w:sz="0" w:space="0" w:color="auto"/>
        <w:bottom w:val="none" w:sz="0" w:space="0" w:color="auto"/>
        <w:right w:val="none" w:sz="0" w:space="0" w:color="auto"/>
      </w:divBdr>
    </w:div>
    <w:div w:id="1712413721">
      <w:bodyDiv w:val="1"/>
      <w:marLeft w:val="0"/>
      <w:marRight w:val="0"/>
      <w:marTop w:val="0"/>
      <w:marBottom w:val="0"/>
      <w:divBdr>
        <w:top w:val="none" w:sz="0" w:space="0" w:color="auto"/>
        <w:left w:val="none" w:sz="0" w:space="0" w:color="auto"/>
        <w:bottom w:val="none" w:sz="0" w:space="0" w:color="auto"/>
        <w:right w:val="none" w:sz="0" w:space="0" w:color="auto"/>
      </w:divBdr>
    </w:div>
    <w:div w:id="1715080123">
      <w:bodyDiv w:val="1"/>
      <w:marLeft w:val="0"/>
      <w:marRight w:val="0"/>
      <w:marTop w:val="0"/>
      <w:marBottom w:val="0"/>
      <w:divBdr>
        <w:top w:val="none" w:sz="0" w:space="0" w:color="auto"/>
        <w:left w:val="none" w:sz="0" w:space="0" w:color="auto"/>
        <w:bottom w:val="none" w:sz="0" w:space="0" w:color="auto"/>
        <w:right w:val="none" w:sz="0" w:space="0" w:color="auto"/>
      </w:divBdr>
    </w:div>
    <w:div w:id="1721588172">
      <w:bodyDiv w:val="1"/>
      <w:marLeft w:val="0"/>
      <w:marRight w:val="0"/>
      <w:marTop w:val="0"/>
      <w:marBottom w:val="0"/>
      <w:divBdr>
        <w:top w:val="none" w:sz="0" w:space="0" w:color="auto"/>
        <w:left w:val="none" w:sz="0" w:space="0" w:color="auto"/>
        <w:bottom w:val="none" w:sz="0" w:space="0" w:color="auto"/>
        <w:right w:val="none" w:sz="0" w:space="0" w:color="auto"/>
      </w:divBdr>
    </w:div>
    <w:div w:id="1732193998">
      <w:bodyDiv w:val="1"/>
      <w:marLeft w:val="0"/>
      <w:marRight w:val="0"/>
      <w:marTop w:val="0"/>
      <w:marBottom w:val="0"/>
      <w:divBdr>
        <w:top w:val="none" w:sz="0" w:space="0" w:color="auto"/>
        <w:left w:val="none" w:sz="0" w:space="0" w:color="auto"/>
        <w:bottom w:val="none" w:sz="0" w:space="0" w:color="auto"/>
        <w:right w:val="none" w:sz="0" w:space="0" w:color="auto"/>
      </w:divBdr>
    </w:div>
    <w:div w:id="1788310731">
      <w:bodyDiv w:val="1"/>
      <w:marLeft w:val="0"/>
      <w:marRight w:val="0"/>
      <w:marTop w:val="0"/>
      <w:marBottom w:val="0"/>
      <w:divBdr>
        <w:top w:val="none" w:sz="0" w:space="0" w:color="auto"/>
        <w:left w:val="none" w:sz="0" w:space="0" w:color="auto"/>
        <w:bottom w:val="none" w:sz="0" w:space="0" w:color="auto"/>
        <w:right w:val="none" w:sz="0" w:space="0" w:color="auto"/>
      </w:divBdr>
    </w:div>
    <w:div w:id="1791044061">
      <w:bodyDiv w:val="1"/>
      <w:marLeft w:val="0"/>
      <w:marRight w:val="0"/>
      <w:marTop w:val="0"/>
      <w:marBottom w:val="0"/>
      <w:divBdr>
        <w:top w:val="none" w:sz="0" w:space="0" w:color="auto"/>
        <w:left w:val="none" w:sz="0" w:space="0" w:color="auto"/>
        <w:bottom w:val="none" w:sz="0" w:space="0" w:color="auto"/>
        <w:right w:val="none" w:sz="0" w:space="0" w:color="auto"/>
      </w:divBdr>
    </w:div>
    <w:div w:id="1859418045">
      <w:bodyDiv w:val="1"/>
      <w:marLeft w:val="0"/>
      <w:marRight w:val="0"/>
      <w:marTop w:val="0"/>
      <w:marBottom w:val="0"/>
      <w:divBdr>
        <w:top w:val="none" w:sz="0" w:space="0" w:color="auto"/>
        <w:left w:val="none" w:sz="0" w:space="0" w:color="auto"/>
        <w:bottom w:val="none" w:sz="0" w:space="0" w:color="auto"/>
        <w:right w:val="none" w:sz="0" w:space="0" w:color="auto"/>
      </w:divBdr>
    </w:div>
    <w:div w:id="1871146616">
      <w:bodyDiv w:val="1"/>
      <w:marLeft w:val="0"/>
      <w:marRight w:val="0"/>
      <w:marTop w:val="0"/>
      <w:marBottom w:val="0"/>
      <w:divBdr>
        <w:top w:val="none" w:sz="0" w:space="0" w:color="auto"/>
        <w:left w:val="none" w:sz="0" w:space="0" w:color="auto"/>
        <w:bottom w:val="none" w:sz="0" w:space="0" w:color="auto"/>
        <w:right w:val="none" w:sz="0" w:space="0" w:color="auto"/>
      </w:divBdr>
    </w:div>
    <w:div w:id="2007439754">
      <w:bodyDiv w:val="1"/>
      <w:marLeft w:val="0"/>
      <w:marRight w:val="0"/>
      <w:marTop w:val="0"/>
      <w:marBottom w:val="0"/>
      <w:divBdr>
        <w:top w:val="none" w:sz="0" w:space="0" w:color="auto"/>
        <w:left w:val="none" w:sz="0" w:space="0" w:color="auto"/>
        <w:bottom w:val="none" w:sz="0" w:space="0" w:color="auto"/>
        <w:right w:val="none" w:sz="0" w:space="0" w:color="auto"/>
      </w:divBdr>
    </w:div>
    <w:div w:id="2027781283">
      <w:bodyDiv w:val="1"/>
      <w:marLeft w:val="0"/>
      <w:marRight w:val="0"/>
      <w:marTop w:val="0"/>
      <w:marBottom w:val="0"/>
      <w:divBdr>
        <w:top w:val="none" w:sz="0" w:space="0" w:color="auto"/>
        <w:left w:val="none" w:sz="0" w:space="0" w:color="auto"/>
        <w:bottom w:val="none" w:sz="0" w:space="0" w:color="auto"/>
        <w:right w:val="none" w:sz="0" w:space="0" w:color="auto"/>
      </w:divBdr>
    </w:div>
    <w:div w:id="211139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mailto:gp.azp@azp.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Varnostna%20pooblastila\Splet%20A&#381;P\2019%20a&#382;urirano%20(SMS%20po%20762,%20glave%20dokumentov%20...)\Predloga_SLO_05_2019.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C5BEA7-CD0E-4727-8FAF-FDE272BD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Predloga_SLO_05_2019</Template>
  <TotalTime>177</TotalTime>
  <Pages>19</Pages>
  <Words>4587</Words>
  <Characters>26146</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30672</CharactersWithSpaces>
  <SharedDoc>false</SharedDoc>
  <HLinks>
    <vt:vector size="6" baseType="variant">
      <vt:variant>
        <vt:i4>2883657</vt:i4>
      </vt:variant>
      <vt:variant>
        <vt:i4>6</vt:i4>
      </vt:variant>
      <vt:variant>
        <vt:i4>0</vt:i4>
      </vt:variant>
      <vt:variant>
        <vt:i4>5</vt:i4>
      </vt:variant>
      <vt:variant>
        <vt:lpwstr>mailto:gp.azp@azp.si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Tadej Novak</dc:creator>
  <cp:keywords/>
  <cp:lastModifiedBy>Tadej Novak</cp:lastModifiedBy>
  <cp:revision>33</cp:revision>
  <cp:lastPrinted>2000-01-04T12:09:00Z</cp:lastPrinted>
  <dcterms:created xsi:type="dcterms:W3CDTF">2019-09-16T08:09:00Z</dcterms:created>
  <dcterms:modified xsi:type="dcterms:W3CDTF">2019-09-16T11:12:00Z</dcterms:modified>
</cp:coreProperties>
</file>